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1DD3" w:rsidRDefault="00836474">
      <w:pPr>
        <w:pStyle w:val="Title"/>
        <w:pBdr>
          <w:top w:val="nil"/>
          <w:left w:val="nil"/>
          <w:bottom w:val="nil"/>
          <w:right w:val="nil"/>
          <w:between w:val="nil"/>
        </w:pBdr>
        <w:rPr>
          <w:sz w:val="32"/>
          <w:szCs w:val="32"/>
        </w:rPr>
      </w:pPr>
      <w:r>
        <w:rPr>
          <w:sz w:val="32"/>
          <w:szCs w:val="32"/>
        </w:rPr>
        <w:t>2</w:t>
      </w:r>
      <w:r w:rsidRPr="00836474">
        <w:rPr>
          <w:sz w:val="32"/>
          <w:szCs w:val="32"/>
          <w:vertAlign w:val="superscript"/>
        </w:rPr>
        <w:t>nd</w:t>
      </w:r>
      <w:r>
        <w:rPr>
          <w:sz w:val="32"/>
          <w:szCs w:val="32"/>
        </w:rPr>
        <w:t xml:space="preserve"> </w:t>
      </w:r>
      <w:r w:rsidR="00080E58">
        <w:rPr>
          <w:sz w:val="32"/>
          <w:szCs w:val="32"/>
        </w:rPr>
        <w:t>Block Honors Sports &amp; Entertainment Marketing I</w:t>
      </w:r>
      <w:r w:rsidR="00EC15C2">
        <w:rPr>
          <w:sz w:val="32"/>
          <w:szCs w:val="32"/>
        </w:rPr>
        <w:t>I</w:t>
      </w:r>
      <w:r w:rsidR="00744114">
        <w:rPr>
          <w:sz w:val="32"/>
          <w:szCs w:val="32"/>
        </w:rPr>
        <w:t xml:space="preserve"> Course Syllabus</w:t>
      </w:r>
    </w:p>
    <w:p w:rsidR="00811DD3" w:rsidRDefault="00811DD3">
      <w:pPr>
        <w:pBdr>
          <w:top w:val="nil"/>
          <w:left w:val="nil"/>
          <w:bottom w:val="nil"/>
          <w:right w:val="nil"/>
          <w:between w:val="nil"/>
        </w:pBdr>
        <w:jc w:val="center"/>
        <w:rPr>
          <w:b/>
          <w:sz w:val="28"/>
          <w:szCs w:val="28"/>
        </w:rPr>
      </w:pPr>
    </w:p>
    <w:tbl>
      <w:tblPr>
        <w:tblStyle w:val="a"/>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8629"/>
      </w:tblGrid>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Course Title:</w:t>
            </w:r>
          </w:p>
        </w:tc>
        <w:tc>
          <w:tcPr>
            <w:tcW w:w="8629" w:type="dxa"/>
          </w:tcPr>
          <w:p w:rsidR="00811DD3" w:rsidRDefault="00811DD3">
            <w:pPr>
              <w:pBdr>
                <w:top w:val="nil"/>
                <w:left w:val="nil"/>
                <w:bottom w:val="nil"/>
                <w:right w:val="nil"/>
                <w:between w:val="nil"/>
              </w:pBdr>
            </w:pPr>
          </w:p>
          <w:p w:rsidR="00811DD3" w:rsidRDefault="00080E58">
            <w:pPr>
              <w:pBdr>
                <w:top w:val="nil"/>
                <w:left w:val="nil"/>
                <w:bottom w:val="nil"/>
                <w:right w:val="nil"/>
                <w:between w:val="nil"/>
              </w:pBdr>
            </w:pPr>
            <w:r>
              <w:t>Honors Sports &amp; Entertainment Marketing II</w:t>
            </w:r>
            <w:r w:rsidR="00744114">
              <w:t xml:space="preserve"> </w:t>
            </w:r>
          </w:p>
          <w:p w:rsidR="00811DD3" w:rsidRDefault="00811DD3">
            <w:pPr>
              <w:pBdr>
                <w:top w:val="nil"/>
                <w:left w:val="nil"/>
                <w:bottom w:val="nil"/>
                <w:right w:val="nil"/>
                <w:between w:val="nil"/>
              </w:pBdr>
              <w:rPr>
                <w:b/>
              </w:rPr>
            </w:pPr>
          </w:p>
        </w:tc>
      </w:tr>
      <w:tr w:rsidR="00811DD3">
        <w:trPr>
          <w:trHeight w:val="4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Teacher:</w:t>
            </w:r>
          </w:p>
        </w:tc>
        <w:tc>
          <w:tcPr>
            <w:tcW w:w="8629" w:type="dxa"/>
          </w:tcPr>
          <w:p w:rsidR="00811DD3" w:rsidRDefault="00811DD3">
            <w:pPr>
              <w:pBdr>
                <w:top w:val="nil"/>
                <w:left w:val="nil"/>
                <w:bottom w:val="nil"/>
                <w:right w:val="nil"/>
                <w:between w:val="nil"/>
              </w:pBdr>
              <w:rPr>
                <w:sz w:val="16"/>
                <w:szCs w:val="16"/>
              </w:rPr>
            </w:pPr>
          </w:p>
          <w:p w:rsidR="00811DD3" w:rsidRDefault="00F1479A">
            <w:pPr>
              <w:pBdr>
                <w:top w:val="nil"/>
                <w:left w:val="nil"/>
                <w:bottom w:val="nil"/>
                <w:right w:val="nil"/>
                <w:between w:val="nil"/>
              </w:pBdr>
            </w:pPr>
            <w:r>
              <w:t xml:space="preserve">Kathryn (Carter) </w:t>
            </w:r>
            <w:proofErr w:type="spellStart"/>
            <w:r>
              <w:t>Vaden</w:t>
            </w:r>
            <w:proofErr w:type="spellEnd"/>
            <w:r>
              <w:t xml:space="preserve">    </w:t>
            </w:r>
            <w:r>
              <w:rPr>
                <w:color w:val="0000FF"/>
                <w:u w:val="single"/>
              </w:rPr>
              <w:t>kcarter</w:t>
            </w:r>
            <w:r w:rsidR="00744114">
              <w:rPr>
                <w:color w:val="0000FF"/>
                <w:u w:val="single"/>
              </w:rPr>
              <w:t>@randolph.k12.nc.u</w:t>
            </w:r>
            <w:r>
              <w:rPr>
                <w:color w:val="0000FF"/>
                <w:u w:val="single"/>
              </w:rPr>
              <w:t>s</w:t>
            </w:r>
            <w:r w:rsidR="00744114">
              <w:t xml:space="preserve"> </w:t>
            </w:r>
          </w:p>
          <w:p w:rsidR="00811DD3" w:rsidRDefault="00F1479A">
            <w:pPr>
              <w:pBdr>
                <w:top w:val="nil"/>
                <w:left w:val="nil"/>
                <w:bottom w:val="nil"/>
                <w:right w:val="nil"/>
                <w:between w:val="nil"/>
              </w:pBdr>
            </w:pPr>
            <w:r>
              <w:t>Room B21</w:t>
            </w:r>
          </w:p>
          <w:p w:rsidR="00811DD3" w:rsidRDefault="00811DD3" w:rsidP="00C2004A">
            <w:pPr>
              <w:pBdr>
                <w:top w:val="nil"/>
                <w:left w:val="nil"/>
                <w:bottom w:val="nil"/>
                <w:right w:val="nil"/>
                <w:between w:val="nil"/>
              </w:pBdr>
              <w:rPr>
                <w:b/>
                <w:sz w:val="16"/>
                <w:szCs w:val="16"/>
              </w:rPr>
            </w:pPr>
          </w:p>
        </w:tc>
      </w:tr>
      <w:tr w:rsidR="00811DD3">
        <w:trPr>
          <w:trHeight w:val="26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Course Description:</w:t>
            </w:r>
          </w:p>
        </w:tc>
        <w:tc>
          <w:tcPr>
            <w:tcW w:w="8629" w:type="dxa"/>
          </w:tcPr>
          <w:p w:rsidR="00811DD3" w:rsidRDefault="00811DD3">
            <w:pPr>
              <w:pBdr>
                <w:top w:val="nil"/>
                <w:left w:val="nil"/>
                <w:bottom w:val="nil"/>
                <w:right w:val="nil"/>
                <w:between w:val="nil"/>
              </w:pBdr>
              <w:rPr>
                <w:color w:val="000000"/>
                <w:sz w:val="16"/>
                <w:szCs w:val="16"/>
                <w:highlight w:val="white"/>
              </w:rPr>
            </w:pPr>
          </w:p>
          <w:p w:rsidR="00080E58" w:rsidRDefault="00080E58" w:rsidP="00080E58">
            <w: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DECA (an association for Marketing Education students) competitive events, community service, and leadership activities provide the opportunity to apply essential standards and workplace readiness skills through authentic experiences.</w:t>
            </w:r>
          </w:p>
          <w:p w:rsidR="00811DD3" w:rsidRDefault="00811DD3">
            <w:pPr>
              <w:pBdr>
                <w:top w:val="nil"/>
                <w:left w:val="nil"/>
                <w:bottom w:val="nil"/>
                <w:right w:val="nil"/>
                <w:between w:val="nil"/>
              </w:pBdr>
              <w:rPr>
                <w:b/>
                <w:sz w:val="16"/>
                <w:szCs w:val="16"/>
              </w:rPr>
            </w:pP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Text:</w:t>
            </w:r>
          </w:p>
        </w:tc>
        <w:tc>
          <w:tcPr>
            <w:tcW w:w="8629" w:type="dxa"/>
          </w:tcPr>
          <w:p w:rsidR="00811DD3" w:rsidRDefault="00811DD3">
            <w:pPr>
              <w:pBdr>
                <w:top w:val="nil"/>
                <w:left w:val="nil"/>
                <w:bottom w:val="nil"/>
                <w:right w:val="nil"/>
                <w:between w:val="nil"/>
              </w:pBdr>
              <w:rPr>
                <w:sz w:val="16"/>
                <w:szCs w:val="16"/>
              </w:rPr>
            </w:pPr>
          </w:p>
          <w:p w:rsidR="00811DD3" w:rsidRDefault="00744114">
            <w:pPr>
              <w:pBdr>
                <w:top w:val="nil"/>
                <w:left w:val="nil"/>
                <w:bottom w:val="nil"/>
                <w:right w:val="nil"/>
                <w:between w:val="nil"/>
              </w:pBdr>
            </w:pPr>
            <w:r>
              <w:t>Leadership, Attitude, Performance (LAP) modules will be used as a text to deliver the material.</w:t>
            </w:r>
          </w:p>
          <w:p w:rsidR="00811DD3" w:rsidRDefault="00811DD3">
            <w:pPr>
              <w:pBdr>
                <w:top w:val="nil"/>
                <w:left w:val="nil"/>
                <w:bottom w:val="nil"/>
                <w:right w:val="nil"/>
                <w:between w:val="nil"/>
              </w:pBdr>
              <w:rPr>
                <w:b/>
                <w:sz w:val="16"/>
                <w:szCs w:val="16"/>
              </w:rPr>
            </w:pP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Pre-requisites</w:t>
            </w:r>
          </w:p>
        </w:tc>
        <w:tc>
          <w:tcPr>
            <w:tcW w:w="8629" w:type="dxa"/>
          </w:tcPr>
          <w:p w:rsidR="00811DD3" w:rsidRDefault="00811DD3">
            <w:pPr>
              <w:pBdr>
                <w:top w:val="nil"/>
                <w:left w:val="nil"/>
                <w:bottom w:val="nil"/>
                <w:right w:val="nil"/>
                <w:between w:val="nil"/>
              </w:pBdr>
              <w:rPr>
                <w:sz w:val="16"/>
                <w:szCs w:val="16"/>
              </w:rPr>
            </w:pPr>
          </w:p>
          <w:p w:rsidR="00811DD3" w:rsidRDefault="00C2004A" w:rsidP="00C2004A">
            <w:pPr>
              <w:pBdr>
                <w:top w:val="nil"/>
                <w:left w:val="nil"/>
                <w:bottom w:val="nil"/>
                <w:right w:val="nil"/>
                <w:between w:val="nil"/>
              </w:pBdr>
              <w:tabs>
                <w:tab w:val="left" w:pos="1105"/>
              </w:tabs>
            </w:pPr>
            <w:r>
              <w:t xml:space="preserve">Sports and Entertainment Marketing 1 </w:t>
            </w:r>
          </w:p>
          <w:p w:rsidR="00811DD3" w:rsidRDefault="00811DD3">
            <w:pPr>
              <w:pBdr>
                <w:top w:val="nil"/>
                <w:left w:val="nil"/>
                <w:bottom w:val="nil"/>
                <w:right w:val="nil"/>
                <w:between w:val="nil"/>
              </w:pBdr>
              <w:rPr>
                <w:sz w:val="16"/>
                <w:szCs w:val="16"/>
              </w:rPr>
            </w:pP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Required Supplies:</w:t>
            </w:r>
          </w:p>
        </w:tc>
        <w:tc>
          <w:tcPr>
            <w:tcW w:w="8629" w:type="dxa"/>
          </w:tcPr>
          <w:p w:rsidR="00811DD3" w:rsidRDefault="00811DD3">
            <w:pPr>
              <w:pBdr>
                <w:top w:val="nil"/>
                <w:left w:val="nil"/>
                <w:bottom w:val="nil"/>
                <w:right w:val="nil"/>
                <w:between w:val="nil"/>
              </w:pBdr>
            </w:pPr>
          </w:p>
          <w:p w:rsidR="00811DD3" w:rsidRDefault="00744114">
            <w:pPr>
              <w:pBdr>
                <w:top w:val="nil"/>
                <w:left w:val="nil"/>
                <w:bottom w:val="nil"/>
                <w:right w:val="nil"/>
                <w:between w:val="nil"/>
              </w:pBdr>
            </w:pPr>
            <w:r>
              <w:t>Internet a</w:t>
            </w:r>
            <w:r w:rsidR="00C2004A">
              <w:t>ccess will be extremely helpful</w:t>
            </w:r>
            <w:r>
              <w:t xml:space="preserve">. A flash drive may be helpful, but saving documents on the student’s Google Drive, assigned by RCSS is suggested. A binder to hold any papers distributed in class and headphones would be useful. Any other basic school supplies will be needed, i.e. pen, pencil, paper, etc. </w:t>
            </w:r>
          </w:p>
          <w:p w:rsidR="00811DD3" w:rsidRDefault="00811DD3">
            <w:pPr>
              <w:pBdr>
                <w:top w:val="nil"/>
                <w:left w:val="nil"/>
                <w:bottom w:val="nil"/>
                <w:right w:val="nil"/>
                <w:between w:val="nil"/>
              </w:pBdr>
            </w:pP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Class Expectations:</w:t>
            </w:r>
          </w:p>
        </w:tc>
        <w:tc>
          <w:tcPr>
            <w:tcW w:w="8629" w:type="dxa"/>
          </w:tcPr>
          <w:p w:rsidR="00811DD3" w:rsidRDefault="00811DD3">
            <w:pPr>
              <w:pBdr>
                <w:top w:val="nil"/>
                <w:left w:val="nil"/>
                <w:bottom w:val="nil"/>
                <w:right w:val="nil"/>
                <w:between w:val="nil"/>
              </w:pBdr>
            </w:pPr>
          </w:p>
          <w:p w:rsidR="00811DD3" w:rsidRDefault="00744114">
            <w:r>
              <w:t xml:space="preserve">Students will be expected to maintain an awareness of their academic performance throughout the school year.  Students and parents are able to know their current grade by registering on parent portal or contacting the teacher. A passing grade in this class is not hard to achieve if the student gives good effort in completing the assignments and learning the material.  </w:t>
            </w:r>
          </w:p>
          <w:p w:rsidR="00811DD3" w:rsidRDefault="00744114">
            <w:r>
              <w:rPr>
                <w:u w:val="single"/>
              </w:rPr>
              <w:t>Classroom behavior expectations</w:t>
            </w:r>
            <w:r>
              <w:t xml:space="preserve">: </w:t>
            </w:r>
          </w:p>
          <w:p w:rsidR="00811DD3" w:rsidRDefault="00744114">
            <w:pPr>
              <w:numPr>
                <w:ilvl w:val="0"/>
                <w:numId w:val="1"/>
              </w:numPr>
              <w:ind w:left="421"/>
            </w:pPr>
            <w:r>
              <w:t>Enter classroom quietly, promptly, and ready to engage.</w:t>
            </w:r>
          </w:p>
          <w:p w:rsidR="00811DD3" w:rsidRDefault="00744114">
            <w:pPr>
              <w:numPr>
                <w:ilvl w:val="0"/>
                <w:numId w:val="1"/>
              </w:numPr>
              <w:ind w:left="421"/>
            </w:pPr>
            <w:r>
              <w:t>Respect yourself, others, and property.</w:t>
            </w:r>
          </w:p>
          <w:p w:rsidR="00811DD3" w:rsidRDefault="00744114">
            <w:pPr>
              <w:numPr>
                <w:ilvl w:val="0"/>
                <w:numId w:val="1"/>
              </w:numPr>
              <w:ind w:left="421"/>
            </w:pPr>
            <w:r>
              <w:t>Be prepared with all necessary materials.</w:t>
            </w:r>
          </w:p>
          <w:p w:rsidR="00811DD3" w:rsidRDefault="00744114">
            <w:pPr>
              <w:numPr>
                <w:ilvl w:val="0"/>
                <w:numId w:val="1"/>
              </w:numPr>
              <w:ind w:left="421"/>
            </w:pPr>
            <w:r>
              <w:t>No electronic devices</w:t>
            </w:r>
          </w:p>
          <w:p w:rsidR="00811DD3" w:rsidRDefault="00811DD3"/>
          <w:p w:rsidR="00811DD3" w:rsidRDefault="00744114">
            <w:r>
              <w:rPr>
                <w:u w:val="single"/>
              </w:rPr>
              <w:t>Attendance Policy</w:t>
            </w:r>
            <w:r>
              <w:t>:  A student has 10 days to complete all missing work for full credit due to an excused absence. A student has 5 days to complete missing work for full credit due to an unexcused absence.  See teacher after returning to school for any assignments.</w:t>
            </w:r>
          </w:p>
          <w:p w:rsidR="00811DD3" w:rsidRDefault="00744114" w:rsidP="007D622F">
            <w:r>
              <w:rPr>
                <w:u w:val="single"/>
              </w:rPr>
              <w:lastRenderedPageBreak/>
              <w:t>Tardy Policy</w:t>
            </w:r>
            <w:r>
              <w:t>: Being tardy is unacceptable, as that is a discipline issue. School wide tardy policy will be used.</w:t>
            </w: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lastRenderedPageBreak/>
              <w:t>Grading Procedure:</w:t>
            </w:r>
          </w:p>
        </w:tc>
        <w:tc>
          <w:tcPr>
            <w:tcW w:w="8629" w:type="dxa"/>
          </w:tcPr>
          <w:p w:rsidR="00811DD3" w:rsidRDefault="00811DD3">
            <w:pPr>
              <w:pBdr>
                <w:top w:val="nil"/>
                <w:left w:val="nil"/>
                <w:bottom w:val="nil"/>
                <w:right w:val="nil"/>
                <w:between w:val="nil"/>
              </w:pBdr>
              <w:ind w:left="2160" w:hanging="2160"/>
              <w:rPr>
                <w:u w:val="single"/>
              </w:rPr>
            </w:pPr>
          </w:p>
          <w:p w:rsidR="00811DD3" w:rsidRDefault="00744114" w:rsidP="007D622F">
            <w:pPr>
              <w:pBdr>
                <w:top w:val="nil"/>
                <w:left w:val="nil"/>
                <w:bottom w:val="nil"/>
                <w:right w:val="nil"/>
                <w:between w:val="nil"/>
              </w:pBdr>
              <w:ind w:left="1051" w:hanging="1051"/>
            </w:pPr>
            <w:r>
              <w:rPr>
                <w:u w:val="single"/>
              </w:rPr>
              <w:t>Quizzes</w:t>
            </w:r>
            <w:r>
              <w:t>: 20</w:t>
            </w:r>
            <w:r w:rsidR="007D622F">
              <w:t>-25</w:t>
            </w:r>
            <w:r>
              <w:t xml:space="preserve"> question quizzes will be given after each unit competency</w:t>
            </w:r>
            <w:r w:rsidR="007D622F">
              <w:t xml:space="preserve"> and open notes</w:t>
            </w:r>
            <w:r>
              <w:t>.</w:t>
            </w:r>
          </w:p>
          <w:p w:rsidR="00811DD3" w:rsidRDefault="00744114">
            <w:pPr>
              <w:pBdr>
                <w:top w:val="nil"/>
                <w:left w:val="nil"/>
                <w:bottom w:val="nil"/>
                <w:right w:val="nil"/>
                <w:between w:val="nil"/>
              </w:pBdr>
              <w:ind w:left="2160" w:hanging="2160"/>
            </w:pPr>
            <w:r>
              <w:rPr>
                <w:u w:val="single"/>
              </w:rPr>
              <w:t>Tests</w:t>
            </w:r>
            <w:r>
              <w:t>: Tests will be administered after each unit objective and/or competency.</w:t>
            </w:r>
          </w:p>
          <w:p w:rsidR="00811DD3" w:rsidRDefault="00744114">
            <w:pPr>
              <w:pBdr>
                <w:top w:val="nil"/>
                <w:left w:val="nil"/>
                <w:bottom w:val="nil"/>
                <w:right w:val="nil"/>
                <w:between w:val="nil"/>
              </w:pBdr>
              <w:ind w:left="1231" w:hanging="1231"/>
            </w:pPr>
            <w:r>
              <w:rPr>
                <w:u w:val="single"/>
              </w:rPr>
              <w:t>Class Work</w:t>
            </w:r>
            <w:r>
              <w:t>: Class work consists of assignments to be completed in a short amount of time, such as a class period or overnight.</w:t>
            </w:r>
          </w:p>
          <w:p w:rsidR="00811DD3" w:rsidRDefault="00744114">
            <w:pPr>
              <w:pBdr>
                <w:top w:val="nil"/>
                <w:left w:val="nil"/>
                <w:bottom w:val="nil"/>
                <w:right w:val="nil"/>
                <w:between w:val="nil"/>
              </w:pBdr>
            </w:pPr>
            <w:r>
              <w:rPr>
                <w:u w:val="single"/>
              </w:rPr>
              <w:t>Projects</w:t>
            </w:r>
            <w:r>
              <w:t>: Special projects will be assigned as tests or quizzes throughout the year.</w:t>
            </w:r>
          </w:p>
          <w:p w:rsidR="00811DD3" w:rsidRDefault="00744114">
            <w:pPr>
              <w:pBdr>
                <w:top w:val="nil"/>
                <w:left w:val="nil"/>
                <w:bottom w:val="nil"/>
                <w:right w:val="nil"/>
                <w:between w:val="nil"/>
              </w:pBdr>
              <w:ind w:left="1231" w:hanging="1231"/>
            </w:pPr>
            <w:r>
              <w:rPr>
                <w:u w:val="single"/>
              </w:rPr>
              <w:t>Final Exam</w:t>
            </w:r>
            <w:r>
              <w:t>: The final exam is a CTE EOC.  It is a cumulative exam that consists of 100 questions.  Students may not exempt any CTE EOC.</w:t>
            </w:r>
          </w:p>
          <w:p w:rsidR="00811DD3" w:rsidRDefault="00811DD3">
            <w:pPr>
              <w:pBdr>
                <w:top w:val="nil"/>
                <w:left w:val="nil"/>
                <w:bottom w:val="nil"/>
                <w:right w:val="nil"/>
                <w:between w:val="nil"/>
              </w:pBdr>
              <w:ind w:left="1231" w:hanging="1231"/>
            </w:pPr>
          </w:p>
        </w:tc>
      </w:tr>
      <w:tr w:rsidR="00811DD3">
        <w:trPr>
          <w:trHeight w:val="28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Grading Scale:</w:t>
            </w:r>
          </w:p>
        </w:tc>
        <w:tc>
          <w:tcPr>
            <w:tcW w:w="8629" w:type="dxa"/>
          </w:tcPr>
          <w:p w:rsidR="00811DD3" w:rsidRDefault="00811DD3">
            <w:pPr>
              <w:pBdr>
                <w:top w:val="nil"/>
                <w:left w:val="nil"/>
                <w:bottom w:val="nil"/>
                <w:right w:val="nil"/>
                <w:between w:val="nil"/>
              </w:pBdr>
            </w:pPr>
          </w:p>
          <w:p w:rsidR="00811DD3" w:rsidRDefault="00C2004A">
            <w:pPr>
              <w:pBdr>
                <w:top w:val="nil"/>
                <w:left w:val="nil"/>
                <w:bottom w:val="nil"/>
                <w:right w:val="nil"/>
                <w:between w:val="nil"/>
              </w:pBdr>
            </w:pPr>
            <w:r>
              <w:t>Tests: 2</w:t>
            </w:r>
            <w:r w:rsidR="00744114">
              <w:t>0%</w:t>
            </w:r>
          </w:p>
          <w:p w:rsidR="00811DD3" w:rsidRDefault="00C2004A">
            <w:pPr>
              <w:pBdr>
                <w:top w:val="nil"/>
                <w:left w:val="nil"/>
                <w:bottom w:val="nil"/>
                <w:right w:val="nil"/>
                <w:between w:val="nil"/>
              </w:pBdr>
            </w:pPr>
            <w:r>
              <w:t>Quiz: 15</w:t>
            </w:r>
            <w:r w:rsidR="00744114">
              <w:t>%</w:t>
            </w:r>
          </w:p>
          <w:p w:rsidR="00811DD3" w:rsidRDefault="00C2004A">
            <w:pPr>
              <w:pBdr>
                <w:top w:val="nil"/>
                <w:left w:val="nil"/>
                <w:bottom w:val="nil"/>
                <w:right w:val="nil"/>
                <w:between w:val="nil"/>
              </w:pBdr>
            </w:pPr>
            <w:r>
              <w:t>Class Work/Homework: 40</w:t>
            </w:r>
            <w:r w:rsidR="00744114">
              <w:t>%</w:t>
            </w:r>
          </w:p>
          <w:p w:rsidR="00811DD3" w:rsidRDefault="00C2004A">
            <w:pPr>
              <w:pBdr>
                <w:top w:val="nil"/>
                <w:left w:val="nil"/>
                <w:bottom w:val="nil"/>
                <w:right w:val="nil"/>
                <w:between w:val="nil"/>
              </w:pBdr>
            </w:pPr>
            <w:r>
              <w:t>Projects: 25</w:t>
            </w:r>
            <w:r w:rsidR="00744114">
              <w:t>%</w:t>
            </w:r>
          </w:p>
          <w:p w:rsidR="00811DD3" w:rsidRDefault="00744114">
            <w:pPr>
              <w:pBdr>
                <w:top w:val="nil"/>
                <w:left w:val="nil"/>
                <w:bottom w:val="nil"/>
                <w:right w:val="nil"/>
                <w:between w:val="nil"/>
              </w:pBdr>
            </w:pPr>
            <w:r>
              <w:t>Final Exam 2</w:t>
            </w:r>
            <w:r w:rsidR="007D622F">
              <w:t>5</w:t>
            </w:r>
            <w:r>
              <w:t>% of fin</w:t>
            </w:r>
            <w:r w:rsidR="00836474">
              <w:t>al grade    Final Exams-</w:t>
            </w:r>
            <w:r w:rsidR="00C2004A">
              <w:t>May 24 – June 3</w:t>
            </w:r>
          </w:p>
          <w:p w:rsidR="00811DD3" w:rsidRDefault="00811DD3">
            <w:pPr>
              <w:pBdr>
                <w:top w:val="nil"/>
                <w:left w:val="nil"/>
                <w:bottom w:val="nil"/>
                <w:right w:val="nil"/>
                <w:between w:val="nil"/>
              </w:pBdr>
              <w:rPr>
                <w:b/>
              </w:rPr>
            </w:pPr>
          </w:p>
        </w:tc>
      </w:tr>
      <w:tr w:rsidR="00811DD3">
        <w:trPr>
          <w:trHeight w:val="30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Tutorial:</w:t>
            </w:r>
          </w:p>
        </w:tc>
        <w:tc>
          <w:tcPr>
            <w:tcW w:w="8629" w:type="dxa"/>
          </w:tcPr>
          <w:p w:rsidR="00811DD3" w:rsidRDefault="00811DD3">
            <w:pPr>
              <w:pBdr>
                <w:top w:val="nil"/>
                <w:left w:val="nil"/>
                <w:bottom w:val="nil"/>
                <w:right w:val="nil"/>
                <w:between w:val="nil"/>
              </w:pBdr>
            </w:pPr>
          </w:p>
          <w:p w:rsidR="00811DD3" w:rsidRDefault="00C2004A">
            <w:pPr>
              <w:pBdr>
                <w:top w:val="nil"/>
                <w:left w:val="nil"/>
                <w:bottom w:val="nil"/>
                <w:right w:val="nil"/>
                <w:between w:val="nil"/>
              </w:pBdr>
            </w:pPr>
            <w:r>
              <w:t xml:space="preserve">Please contact me to set up a virtual session. </w:t>
            </w:r>
          </w:p>
          <w:p w:rsidR="00811DD3" w:rsidRDefault="00811DD3">
            <w:pPr>
              <w:pBdr>
                <w:top w:val="nil"/>
                <w:left w:val="nil"/>
                <w:bottom w:val="nil"/>
                <w:right w:val="nil"/>
                <w:between w:val="nil"/>
              </w:pBdr>
            </w:pPr>
          </w:p>
        </w:tc>
      </w:tr>
      <w:tr w:rsidR="00811DD3">
        <w:trPr>
          <w:trHeight w:val="300"/>
        </w:trPr>
        <w:tc>
          <w:tcPr>
            <w:tcW w:w="2369" w:type="dxa"/>
            <w:vAlign w:val="center"/>
          </w:tcPr>
          <w:p w:rsidR="00811DD3" w:rsidRDefault="00744114">
            <w:pPr>
              <w:pBdr>
                <w:top w:val="nil"/>
                <w:left w:val="nil"/>
                <w:bottom w:val="nil"/>
                <w:right w:val="nil"/>
                <w:between w:val="nil"/>
              </w:pBdr>
              <w:rPr>
                <w:b/>
                <w:sz w:val="28"/>
                <w:szCs w:val="28"/>
              </w:rPr>
            </w:pPr>
            <w:r>
              <w:rPr>
                <w:b/>
                <w:sz w:val="28"/>
                <w:szCs w:val="28"/>
              </w:rPr>
              <w:t>Website:</w:t>
            </w:r>
          </w:p>
        </w:tc>
        <w:tc>
          <w:tcPr>
            <w:tcW w:w="8629" w:type="dxa"/>
          </w:tcPr>
          <w:p w:rsidR="00811DD3" w:rsidRDefault="00811DD3">
            <w:pPr>
              <w:pBdr>
                <w:top w:val="nil"/>
                <w:left w:val="nil"/>
                <w:bottom w:val="nil"/>
                <w:right w:val="nil"/>
                <w:between w:val="nil"/>
              </w:pBdr>
            </w:pPr>
          </w:p>
          <w:p w:rsidR="00811DD3" w:rsidRDefault="00C2004A">
            <w:r>
              <w:t>This course</w:t>
            </w:r>
            <w:bookmarkStart w:id="0" w:name="_GoBack"/>
            <w:bookmarkEnd w:id="0"/>
            <w:r w:rsidR="00744114">
              <w:t xml:space="preserve"> will be conducted using Canvas, an online classroom format.  All resources, notes, presentations, assignments, projects, and other class related material will be distributed through this Learning Management System.</w:t>
            </w:r>
          </w:p>
          <w:p w:rsidR="00811DD3" w:rsidRDefault="00811DD3">
            <w:pPr>
              <w:pBdr>
                <w:top w:val="nil"/>
                <w:left w:val="nil"/>
                <w:bottom w:val="nil"/>
                <w:right w:val="nil"/>
                <w:between w:val="nil"/>
              </w:pBdr>
            </w:pPr>
          </w:p>
        </w:tc>
      </w:tr>
    </w:tbl>
    <w:p w:rsidR="00811DD3" w:rsidRDefault="00811DD3" w:rsidP="00836474">
      <w:pPr>
        <w:pBdr>
          <w:top w:val="nil"/>
          <w:left w:val="nil"/>
          <w:bottom w:val="nil"/>
          <w:right w:val="nil"/>
          <w:between w:val="nil"/>
        </w:pBdr>
      </w:pPr>
    </w:p>
    <w:sectPr w:rsidR="00811DD3">
      <w:footerReference w:type="first" r:id="rId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59" w:rsidRDefault="00D90D59">
      <w:r>
        <w:separator/>
      </w:r>
    </w:p>
  </w:endnote>
  <w:endnote w:type="continuationSeparator" w:id="0">
    <w:p w:rsidR="00D90D59" w:rsidRDefault="00D9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D3" w:rsidRDefault="00811DD3">
    <w:pPr>
      <w:pBdr>
        <w:top w:val="nil"/>
        <w:left w:val="nil"/>
        <w:bottom w:val="nil"/>
        <w:right w:val="nil"/>
        <w:between w:val="nil"/>
      </w:pBdr>
      <w:tabs>
        <w:tab w:val="center" w:pos="4680"/>
        <w:tab w:val="right" w:pos="9360"/>
      </w:tabs>
      <w:jc w:val="right"/>
    </w:pPr>
  </w:p>
  <w:p w:rsidR="00811DD3" w:rsidRDefault="00744114">
    <w:pPr>
      <w:pBdr>
        <w:top w:val="nil"/>
        <w:left w:val="nil"/>
        <w:bottom w:val="nil"/>
        <w:right w:val="nil"/>
        <w:between w:val="nil"/>
      </w:pBdr>
      <w:tabs>
        <w:tab w:val="center" w:pos="4680"/>
        <w:tab w:val="right" w:pos="9360"/>
      </w:tabs>
      <w:spacing w:after="720"/>
      <w:jc w:val="center"/>
    </w:pPr>
    <w:r>
      <w:t xml:space="preserve">                                                                                                                                         Over </w:t>
    </w:r>
    <w:r>
      <w:rPr>
        <w:noProof/>
        <w:lang w:val="en-US"/>
      </w:rPr>
      <w:drawing>
        <wp:anchor distT="4294967295" distB="4294967295" distL="114300" distR="114300" simplePos="0" relativeHeight="251658240" behindDoc="0" locked="0" layoutInCell="1" hidden="0" allowOverlap="1">
          <wp:simplePos x="0" y="0"/>
          <wp:positionH relativeFrom="margin">
            <wp:posOffset>6388100</wp:posOffset>
          </wp:positionH>
          <wp:positionV relativeFrom="paragraph">
            <wp:posOffset>63499</wp:posOffset>
          </wp:positionV>
          <wp:extent cx="381000" cy="25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1000" cy="25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59" w:rsidRDefault="00D90D59">
      <w:r>
        <w:separator/>
      </w:r>
    </w:p>
  </w:footnote>
  <w:footnote w:type="continuationSeparator" w:id="0">
    <w:p w:rsidR="00D90D59" w:rsidRDefault="00D90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4EDF"/>
    <w:multiLevelType w:val="multilevel"/>
    <w:tmpl w:val="F380296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D3"/>
    <w:rsid w:val="00080E58"/>
    <w:rsid w:val="001D4A5F"/>
    <w:rsid w:val="0031063E"/>
    <w:rsid w:val="006973F0"/>
    <w:rsid w:val="006A556E"/>
    <w:rsid w:val="00744114"/>
    <w:rsid w:val="00765DD3"/>
    <w:rsid w:val="007D622F"/>
    <w:rsid w:val="00811DD3"/>
    <w:rsid w:val="00836474"/>
    <w:rsid w:val="00BA0539"/>
    <w:rsid w:val="00C2004A"/>
    <w:rsid w:val="00CD123E"/>
    <w:rsid w:val="00D90D59"/>
    <w:rsid w:val="00DA1692"/>
    <w:rsid w:val="00E40771"/>
    <w:rsid w:val="00EC15C2"/>
    <w:rsid w:val="00F1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844E"/>
  <w15:docId w15:val="{C41C8C4D-8564-4C2F-8502-03BD9E86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000" w:hanging="300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Ken</dc:creator>
  <cp:lastModifiedBy>Carter, Kathryn Paige</cp:lastModifiedBy>
  <cp:revision>2</cp:revision>
  <cp:lastPrinted>2019-01-24T13:06:00Z</cp:lastPrinted>
  <dcterms:created xsi:type="dcterms:W3CDTF">2021-01-14T16:53:00Z</dcterms:created>
  <dcterms:modified xsi:type="dcterms:W3CDTF">2021-01-14T16:53:00Z</dcterms:modified>
</cp:coreProperties>
</file>