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608F" w14:textId="0D0C6183" w:rsidR="002406A3" w:rsidRDefault="002406A3" w:rsidP="007F29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mbria" w:hAnsi="Cambria" w:cs="Times"/>
          <w:b/>
          <w:color w:val="000000"/>
          <w:u w:val="single"/>
        </w:rPr>
      </w:pPr>
      <w:r w:rsidRPr="00A9696E">
        <w:rPr>
          <w:noProof/>
        </w:rPr>
        <w:drawing>
          <wp:inline distT="0" distB="0" distL="0" distR="0" wp14:anchorId="2F05A459" wp14:editId="067EC84C">
            <wp:extent cx="1735995" cy="12979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11" cy="1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1EF3" w14:textId="4677CA8C" w:rsidR="002406A3" w:rsidRPr="002406A3" w:rsidRDefault="002406A3" w:rsidP="002406A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mbria" w:hAnsi="Cambria" w:cs="Times"/>
          <w:b/>
          <w:color w:val="000000"/>
          <w:sz w:val="28"/>
          <w:szCs w:val="28"/>
        </w:rPr>
      </w:pPr>
      <w:r w:rsidRPr="002406A3">
        <w:rPr>
          <w:rFonts w:ascii="Cambria" w:hAnsi="Cambria" w:cs="Times"/>
          <w:b/>
          <w:color w:val="000000"/>
          <w:sz w:val="28"/>
          <w:szCs w:val="28"/>
        </w:rPr>
        <w:t xml:space="preserve">DeSoto County Schools </w:t>
      </w:r>
    </w:p>
    <w:p w14:paraId="669ACF3C" w14:textId="34D0B9E1" w:rsidR="007F29D6" w:rsidRPr="002406A3" w:rsidRDefault="002406A3" w:rsidP="002406A3">
      <w:pPr>
        <w:pStyle w:val="NoSpacing"/>
        <w:jc w:val="center"/>
        <w:rPr>
          <w:b/>
          <w:sz w:val="32"/>
          <w:szCs w:val="32"/>
          <w:u w:val="single"/>
        </w:rPr>
      </w:pPr>
      <w:r w:rsidRPr="002406A3">
        <w:rPr>
          <w:b/>
          <w:sz w:val="32"/>
          <w:szCs w:val="32"/>
          <w:u w:val="single"/>
        </w:rPr>
        <w:t>Risk Factors fo</w:t>
      </w:r>
      <w:r w:rsidR="007F29D6" w:rsidRPr="002406A3">
        <w:rPr>
          <w:b/>
          <w:sz w:val="32"/>
          <w:szCs w:val="32"/>
          <w:u w:val="single"/>
        </w:rPr>
        <w:t>r Youth Suicide</w:t>
      </w:r>
    </w:p>
    <w:p w14:paraId="7CA24694" w14:textId="787AA747" w:rsidR="002406A3" w:rsidRPr="002406A3" w:rsidRDefault="002406A3" w:rsidP="002406A3">
      <w:pPr>
        <w:pStyle w:val="NoSpacing"/>
        <w:jc w:val="center"/>
        <w:rPr>
          <w:b/>
          <w:sz w:val="32"/>
          <w:szCs w:val="32"/>
          <w:u w:val="single"/>
        </w:rPr>
      </w:pPr>
      <w:r w:rsidRPr="002406A3">
        <w:rPr>
          <w:b/>
          <w:sz w:val="32"/>
          <w:szCs w:val="32"/>
          <w:u w:val="single"/>
        </w:rPr>
        <w:t>A Guide for Educators and Parents</w:t>
      </w:r>
    </w:p>
    <w:p w14:paraId="14705764" w14:textId="77777777" w:rsidR="002406A3" w:rsidRPr="002406A3" w:rsidRDefault="002406A3" w:rsidP="002406A3">
      <w:pPr>
        <w:pStyle w:val="NoSpacing"/>
        <w:jc w:val="center"/>
        <w:rPr>
          <w:b/>
          <w:sz w:val="28"/>
          <w:szCs w:val="28"/>
          <w:u w:val="single"/>
        </w:rPr>
      </w:pPr>
    </w:p>
    <w:p w14:paraId="5C0D1799" w14:textId="77777777" w:rsidR="007F29D6" w:rsidRPr="007F29D6" w:rsidRDefault="007F29D6" w:rsidP="0082153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7F29D6">
        <w:rPr>
          <w:rFonts w:ascii="Cambria" w:hAnsi="Cambria" w:cs="Times"/>
          <w:color w:val="000000"/>
        </w:rPr>
        <w:t xml:space="preserve">Risk factors </w:t>
      </w:r>
      <w:r w:rsidRPr="007F29D6">
        <w:rPr>
          <w:rFonts w:ascii="Cambria" w:hAnsi="Cambria" w:cs="Cambria"/>
          <w:color w:val="000000"/>
        </w:rPr>
        <w:t>for suicide refer to personal or environmental characteristics tha</w:t>
      </w:r>
      <w:r>
        <w:rPr>
          <w:rFonts w:ascii="Cambria" w:hAnsi="Cambria" w:cs="Cambria"/>
          <w:color w:val="000000"/>
        </w:rPr>
        <w:t>t are associated with suicide.  T</w:t>
      </w:r>
      <w:r w:rsidRPr="007F29D6">
        <w:rPr>
          <w:rFonts w:ascii="Cambria" w:hAnsi="Cambria" w:cs="Cambria"/>
          <w:color w:val="000000"/>
        </w:rPr>
        <w:t>he environment includes the social and cultural environment as wel</w:t>
      </w:r>
      <w:r>
        <w:rPr>
          <w:rFonts w:ascii="Cambria" w:hAnsi="Cambria" w:cs="Cambria"/>
          <w:color w:val="000000"/>
        </w:rPr>
        <w:t>l as the physical environment.  P</w:t>
      </w:r>
      <w:r w:rsidRPr="007F29D6">
        <w:rPr>
          <w:rFonts w:ascii="Cambria" w:hAnsi="Cambria" w:cs="Cambria"/>
          <w:color w:val="000000"/>
        </w:rPr>
        <w:t>eople affected by one or more of these risk factors may have a greater pro</w:t>
      </w:r>
      <w:r>
        <w:rPr>
          <w:rFonts w:ascii="Cambria" w:hAnsi="Cambria" w:cs="Cambria"/>
          <w:color w:val="000000"/>
        </w:rPr>
        <w:t>bability of suicidal behavior.  S</w:t>
      </w:r>
      <w:r w:rsidRPr="007F29D6">
        <w:rPr>
          <w:rFonts w:ascii="Cambria" w:hAnsi="Cambria" w:cs="Cambria"/>
          <w:color w:val="000000"/>
        </w:rPr>
        <w:t xml:space="preserve">ome risk factors cannot be changed-­­such as a previous suicide attempt-­­but they can be used to help identify someone who may be vulnerable to suicide. </w:t>
      </w:r>
    </w:p>
    <w:p w14:paraId="7D4F2A83" w14:textId="77777777" w:rsidR="007F29D6" w:rsidRPr="007F29D6" w:rsidRDefault="007F29D6" w:rsidP="0082153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>
        <w:rPr>
          <w:rFonts w:ascii="Cambria" w:hAnsi="Cambria" w:cs="Cambria"/>
          <w:color w:val="000000"/>
        </w:rPr>
        <w:t xml:space="preserve">There is no single </w:t>
      </w:r>
      <w:r w:rsidRPr="007F29D6">
        <w:rPr>
          <w:rFonts w:ascii="Cambria" w:hAnsi="Cambria" w:cs="Cambria"/>
          <w:color w:val="000000"/>
        </w:rPr>
        <w:t xml:space="preserve">list of risk factors. The list below summarizes the risk factors identified by the most recent research. </w:t>
      </w:r>
    </w:p>
    <w:p w14:paraId="611ECCF0" w14:textId="77777777" w:rsidR="0082153E" w:rsidRDefault="007F29D6" w:rsidP="0082153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7F29D6">
        <w:rPr>
          <w:rFonts w:ascii="Cambria" w:hAnsi="Cambria" w:cs="Times"/>
          <w:b/>
          <w:color w:val="000000"/>
          <w:u w:val="single"/>
        </w:rPr>
        <w:t>Behavioral Health Issues/Disorders</w:t>
      </w:r>
      <w:r w:rsidRPr="007F29D6">
        <w:rPr>
          <w:rFonts w:ascii="Cambria" w:hAnsi="Cambria" w:cs="Times"/>
          <w:color w:val="000000"/>
        </w:rPr>
        <w:t xml:space="preserve">: </w:t>
      </w:r>
    </w:p>
    <w:p w14:paraId="75A8FC02" w14:textId="77777777" w:rsidR="0082153E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Depressive disorders </w:t>
      </w:r>
    </w:p>
    <w:p w14:paraId="6ED8DD59" w14:textId="77777777" w:rsidR="0082153E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Substance abuse or dependence (alcohol and other drugs)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10B08CA8" w14:textId="77777777" w:rsidR="0082153E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Conduct/disruptive behavior disorders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6010BD1B" w14:textId="77777777" w:rsidR="0082153E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Other disorders (e.g., anxiety disorders, personality disorders)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7D3397DC" w14:textId="77777777" w:rsidR="0082153E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Previous suicide attempts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3F55D812" w14:textId="77777777" w:rsidR="0082153E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Self injury (without intent to die)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5B4EFBD6" w14:textId="77777777" w:rsidR="007F29D6" w:rsidRPr="0082153E" w:rsidRDefault="007F29D6" w:rsidP="008215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Genetic/biological vulnerability </w:t>
      </w:r>
    </w:p>
    <w:p w14:paraId="00201DA8" w14:textId="77777777" w:rsidR="0082153E" w:rsidRDefault="007F29D6" w:rsidP="008215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7F29D6">
        <w:rPr>
          <w:rFonts w:ascii="Cambria" w:hAnsi="Cambria" w:cs="Times"/>
          <w:b/>
          <w:color w:val="000000"/>
          <w:u w:val="single"/>
        </w:rPr>
        <w:t>Personal Characteristics</w:t>
      </w:r>
      <w:r>
        <w:rPr>
          <w:rFonts w:ascii="Cambria" w:hAnsi="Cambria" w:cs="Times"/>
          <w:color w:val="000000"/>
        </w:rPr>
        <w:t>:</w:t>
      </w:r>
    </w:p>
    <w:p w14:paraId="6B1E727F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Hopelessness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0A1B6262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Low self esteem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579A0F35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Loneliness </w:t>
      </w:r>
    </w:p>
    <w:p w14:paraId="4C465AA4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Social alienation and isolation, lack of belonging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42101F1E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Low stress and frustration tolerance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7F869E0F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Impulsivity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6A6A8F52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Risk taking, recklessness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15092FF5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>Poor problem</w:t>
      </w:r>
      <w:r w:rsidR="0082153E" w:rsidRPr="0082153E">
        <w:rPr>
          <w:rFonts w:ascii="Cambria" w:hAnsi="Cambria" w:cs="Cambria"/>
          <w:color w:val="000000"/>
        </w:rPr>
        <w:t xml:space="preserve"> </w:t>
      </w:r>
      <w:r w:rsidRPr="0082153E">
        <w:rPr>
          <w:rFonts w:ascii="Cambria" w:hAnsi="Cambria" w:cs="Cambria"/>
          <w:color w:val="000000"/>
        </w:rPr>
        <w:t xml:space="preserve">solving or coping skills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1C818473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lastRenderedPageBreak/>
        <w:t xml:space="preserve">Perception of self as very underweight or very overweight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2FC2FD54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>Capacity to self</w:t>
      </w:r>
      <w:r w:rsidR="0082153E" w:rsidRPr="0082153E">
        <w:rPr>
          <w:rFonts w:ascii="Cambria" w:hAnsi="Cambria" w:cs="Cambria"/>
          <w:color w:val="000000"/>
        </w:rPr>
        <w:t xml:space="preserve"> </w:t>
      </w:r>
      <w:r w:rsidRPr="0082153E">
        <w:rPr>
          <w:rFonts w:ascii="Cambria" w:hAnsi="Cambria" w:cs="Cambria"/>
          <w:color w:val="000000"/>
        </w:rPr>
        <w:t xml:space="preserve">injure </w:t>
      </w:r>
    </w:p>
    <w:p w14:paraId="667D5947" w14:textId="77777777" w:rsidR="0082153E" w:rsidRPr="0082153E" w:rsidRDefault="007F29D6" w:rsidP="0082153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Perception of being a burden (e.g., to family and friends) </w:t>
      </w:r>
    </w:p>
    <w:p w14:paraId="71D6E9DB" w14:textId="77777777" w:rsidR="0082153E" w:rsidRPr="0082153E" w:rsidRDefault="007F29D6" w:rsidP="008215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7F29D6">
        <w:rPr>
          <w:rFonts w:ascii="MS Mincho" w:eastAsia="MS Mincho" w:hAnsi="MS Mincho" w:cs="MS Mincho"/>
          <w:color w:val="000000"/>
        </w:rPr>
        <w:t> </w:t>
      </w:r>
      <w:r w:rsidRPr="0082153E">
        <w:rPr>
          <w:rFonts w:ascii="Cambria" w:hAnsi="Cambria" w:cs="Times"/>
          <w:b/>
          <w:color w:val="000000"/>
          <w:u w:val="single"/>
        </w:rPr>
        <w:t>Adver</w:t>
      </w:r>
      <w:r w:rsidR="0082153E">
        <w:rPr>
          <w:rFonts w:ascii="Cambria" w:hAnsi="Cambria" w:cs="Times"/>
          <w:b/>
          <w:color w:val="000000"/>
          <w:u w:val="single"/>
        </w:rPr>
        <w:t>se/Stressful Life Circumstances</w:t>
      </w:r>
      <w:r w:rsidR="0082153E">
        <w:rPr>
          <w:rFonts w:ascii="Cambria" w:hAnsi="Cambria" w:cs="Times"/>
          <w:color w:val="000000"/>
        </w:rPr>
        <w:t>:</w:t>
      </w:r>
    </w:p>
    <w:p w14:paraId="5CD67A6E" w14:textId="77777777" w:rsidR="0082153E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Interpersonal difficulties or losses (e.g., breaking up with a girlfriend or boyfriend)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2B23C22D" w14:textId="77777777" w:rsidR="0082153E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Disciplinary or legal problems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15DD07A0" w14:textId="77777777" w:rsidR="0082153E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Bullying, either as victim or perpetrator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5B7A3F58" w14:textId="77777777" w:rsidR="0082153E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School or work problems (e.g., actual or perceived difficulties in school or work, not </w:t>
      </w:r>
      <w:r w:rsidRPr="0082153E">
        <w:rPr>
          <w:rFonts w:ascii="MS Mincho" w:eastAsia="MS Mincho" w:hAnsi="MS Mincho" w:cs="MS Mincho"/>
          <w:color w:val="000000"/>
        </w:rPr>
        <w:t> </w:t>
      </w:r>
      <w:r w:rsidRPr="0082153E">
        <w:rPr>
          <w:rFonts w:ascii="Cambria" w:hAnsi="Cambria" w:cs="Cambria"/>
          <w:color w:val="000000"/>
        </w:rPr>
        <w:t xml:space="preserve">attending school or work, not going to college)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7BDCF1F9" w14:textId="77777777" w:rsidR="0082153E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Physical, sexual, and/or psychological abuse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663BE9F2" w14:textId="77777777" w:rsidR="0082153E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Chronic physical illness or disability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238AD8EF" w14:textId="77777777" w:rsidR="007F29D6" w:rsidRPr="0082153E" w:rsidRDefault="007F29D6" w:rsidP="008215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Exposure to suicide of peer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20B11182" w14:textId="77777777" w:rsidR="007F29D6" w:rsidRPr="007F29D6" w:rsidRDefault="007F29D6" w:rsidP="0082153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color w:val="000000"/>
          <w:u w:val="single"/>
        </w:rPr>
        <w:t>Risky Behaviors</w:t>
      </w:r>
      <w:r>
        <w:rPr>
          <w:rFonts w:ascii="Cambria" w:hAnsi="Cambria" w:cs="Times"/>
          <w:color w:val="000000"/>
        </w:rPr>
        <w:t>:</w:t>
      </w:r>
    </w:p>
    <w:p w14:paraId="43F9630C" w14:textId="77777777" w:rsidR="0082153E" w:rsidRPr="0082153E" w:rsidRDefault="007F29D6" w:rsidP="0082153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Alcohol or drug use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51598D63" w14:textId="77777777" w:rsidR="0082153E" w:rsidRPr="0082153E" w:rsidRDefault="007F29D6" w:rsidP="0082153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Delinquency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7391FA7C" w14:textId="77777777" w:rsidR="0082153E" w:rsidRPr="0082153E" w:rsidRDefault="007F29D6" w:rsidP="0082153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Aggressive/violent behavior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424359FD" w14:textId="77777777" w:rsidR="007F29D6" w:rsidRPr="0082153E" w:rsidRDefault="007F29D6" w:rsidP="0082153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Risky sexual behavior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2CE00AF7" w14:textId="77777777" w:rsidR="0082153E" w:rsidRDefault="007F29D6" w:rsidP="008215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7F29D6">
        <w:rPr>
          <w:rFonts w:ascii="Cambria" w:hAnsi="Cambria" w:cs="Times"/>
          <w:b/>
          <w:color w:val="000000"/>
          <w:u w:val="single"/>
        </w:rPr>
        <w:t>Family Characteristics</w:t>
      </w:r>
      <w:r>
        <w:rPr>
          <w:rFonts w:ascii="Cambria" w:hAnsi="Cambria" w:cs="Times"/>
          <w:color w:val="000000"/>
        </w:rPr>
        <w:t>:</w:t>
      </w:r>
    </w:p>
    <w:p w14:paraId="2A116738" w14:textId="77777777" w:rsidR="0082153E" w:rsidRPr="0082153E" w:rsidRDefault="007F29D6" w:rsidP="008215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Family history of suicide or suicidal behavior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78B19FBD" w14:textId="77777777" w:rsidR="0082153E" w:rsidRPr="0082153E" w:rsidRDefault="007F29D6" w:rsidP="008215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Parental mental health problems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514A120A" w14:textId="77777777" w:rsidR="0082153E" w:rsidRPr="0082153E" w:rsidRDefault="007F29D6" w:rsidP="008215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Parental divorce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21A2F78E" w14:textId="77777777" w:rsidR="0082153E" w:rsidRPr="0082153E" w:rsidRDefault="007F29D6" w:rsidP="008215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Death of parent or other relative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03FFC7F9" w14:textId="77777777" w:rsidR="0082153E" w:rsidRPr="0082153E" w:rsidRDefault="007F29D6" w:rsidP="008215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Problems in </w:t>
      </w:r>
      <w:r w:rsidR="0082153E">
        <w:rPr>
          <w:rFonts w:ascii="Cambria" w:hAnsi="Cambria" w:cs="Cambria"/>
          <w:color w:val="000000"/>
        </w:rPr>
        <w:t xml:space="preserve">parent </w:t>
      </w:r>
      <w:r w:rsidRPr="0082153E">
        <w:rPr>
          <w:rFonts w:ascii="Cambria" w:hAnsi="Cambria" w:cs="Cambria"/>
          <w:color w:val="000000"/>
        </w:rPr>
        <w:t xml:space="preserve">child </w:t>
      </w:r>
      <w:r w:rsidR="0082153E">
        <w:rPr>
          <w:rFonts w:ascii="Cambria" w:hAnsi="Cambria" w:cs="Cambria"/>
          <w:color w:val="000000"/>
        </w:rPr>
        <w:t>relationship</w:t>
      </w:r>
    </w:p>
    <w:p w14:paraId="06A75694" w14:textId="77777777" w:rsidR="0082153E" w:rsidRDefault="007F29D6" w:rsidP="008215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Times"/>
          <w:b/>
          <w:color w:val="000000"/>
          <w:u w:val="single"/>
        </w:rPr>
        <w:t>Environmental Factors</w:t>
      </w:r>
      <w:r w:rsidR="0082153E">
        <w:rPr>
          <w:rFonts w:ascii="Cambria" w:hAnsi="Cambria" w:cs="Times"/>
          <w:color w:val="000000"/>
        </w:rPr>
        <w:t>:</w:t>
      </w:r>
    </w:p>
    <w:p w14:paraId="5CB12B4E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Negative social and emotional environment at school, including negative attitudes, beliefs, feelings, and interactions of staff and students </w:t>
      </w:r>
    </w:p>
    <w:p w14:paraId="13D72A60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Lack of acceptance of differences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408172F3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Expression and acts of hostility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4123B875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Lack of respect and fair treatment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126834BA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Lack of respect for the cultures of all students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42BB7D57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>Limitations in school physical environment, including lack of safety and security</w:t>
      </w:r>
    </w:p>
    <w:p w14:paraId="2DC44E2B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Weapons on campus </w:t>
      </w:r>
    </w:p>
    <w:p w14:paraId="5EF7A01C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Poorly lit areas conducive to bullying and violence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5CC63FDE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lastRenderedPageBreak/>
        <w:t xml:space="preserve">Limited access to mental health care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3C8CFE7E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 xml:space="preserve">Access to lethal means, particularly in the home </w:t>
      </w:r>
      <w:r w:rsidRPr="0082153E">
        <w:rPr>
          <w:rFonts w:ascii="MS Mincho" w:eastAsia="MS Mincho" w:hAnsi="MS Mincho" w:cs="MS Mincho"/>
          <w:color w:val="000000"/>
        </w:rPr>
        <w:t> </w:t>
      </w:r>
    </w:p>
    <w:p w14:paraId="080BEF42" w14:textId="77777777" w:rsidR="0082153E" w:rsidRPr="0082153E" w:rsidRDefault="007F29D6" w:rsidP="0082153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>Exposure to other suicid</w:t>
      </w:r>
      <w:r w:rsidR="0065611A">
        <w:rPr>
          <w:rFonts w:ascii="Cambria" w:hAnsi="Cambria" w:cs="Cambria"/>
          <w:color w:val="000000"/>
        </w:rPr>
        <w:t>es</w:t>
      </w:r>
      <w:r w:rsidRPr="0082153E">
        <w:rPr>
          <w:rFonts w:ascii="Cambria" w:hAnsi="Cambria" w:cs="Cambria"/>
          <w:color w:val="000000"/>
        </w:rPr>
        <w:t xml:space="preserve"> </w:t>
      </w:r>
    </w:p>
    <w:p w14:paraId="4CE67564" w14:textId="24CD63DD" w:rsidR="0065611A" w:rsidRPr="0065611A" w:rsidRDefault="007F29D6" w:rsidP="0065611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82153E">
        <w:rPr>
          <w:rFonts w:ascii="Cambria" w:hAnsi="Cambria" w:cs="Cambria"/>
          <w:color w:val="000000"/>
        </w:rPr>
        <w:t>Exposure to stigma and discrimination against stude</w:t>
      </w:r>
      <w:r w:rsidR="0065611A">
        <w:rPr>
          <w:rFonts w:ascii="Cambria" w:hAnsi="Cambria" w:cs="Cambria"/>
          <w:color w:val="000000"/>
        </w:rPr>
        <w:t>nts based on sexual orientation</w:t>
      </w:r>
      <w:r w:rsidRPr="0082153E">
        <w:rPr>
          <w:rFonts w:ascii="Cambria" w:hAnsi="Cambria" w:cs="Cambria"/>
          <w:color w:val="000000"/>
        </w:rPr>
        <w:t xml:space="preserve"> </w:t>
      </w:r>
      <w:r w:rsidR="0065611A">
        <w:rPr>
          <w:rFonts w:ascii="Cambria" w:hAnsi="Cambria" w:cs="Cambria"/>
          <w:color w:val="000000"/>
        </w:rPr>
        <w:t>gender identity, race and ethnicity, disability,</w:t>
      </w:r>
      <w:r w:rsidRPr="0082153E">
        <w:rPr>
          <w:rFonts w:ascii="Cambria" w:hAnsi="Cambria" w:cs="Cambria"/>
          <w:color w:val="000000"/>
        </w:rPr>
        <w:t xml:space="preserve"> or physical characteristics</w:t>
      </w:r>
      <w:bookmarkStart w:id="0" w:name="_GoBack"/>
      <w:bookmarkEnd w:id="0"/>
    </w:p>
    <w:p w14:paraId="403262EE" w14:textId="77777777" w:rsidR="007F29D6" w:rsidRPr="0065611A" w:rsidRDefault="007F29D6" w:rsidP="0065611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Cambria" w:hAnsi="Cambria" w:cs="Arial"/>
          <w:color w:val="000000"/>
        </w:rPr>
      </w:pPr>
      <w:r w:rsidRPr="0065611A">
        <w:rPr>
          <w:rFonts w:ascii="Cambria" w:hAnsi="Cambria" w:cs="Cambria"/>
          <w:color w:val="000000"/>
        </w:rPr>
        <w:t>Victimization and bullying by others, lack of support from and reject</w:t>
      </w:r>
      <w:r w:rsidR="0065611A">
        <w:rPr>
          <w:rFonts w:ascii="Cambria" w:hAnsi="Cambria" w:cs="Cambria"/>
          <w:color w:val="000000"/>
        </w:rPr>
        <w:t>ion by family and peers</w:t>
      </w:r>
      <w:r w:rsidRPr="0065611A">
        <w:rPr>
          <w:rFonts w:ascii="Cambria" w:hAnsi="Cambria" w:cs="Cambria"/>
          <w:color w:val="000000"/>
        </w:rPr>
        <w:t xml:space="preserve"> </w:t>
      </w:r>
    </w:p>
    <w:p w14:paraId="51FFD3CD" w14:textId="77777777" w:rsidR="002406A3" w:rsidRDefault="002406A3" w:rsidP="002406A3">
      <w:pPr>
        <w:pStyle w:val="ListParagraph"/>
      </w:pPr>
    </w:p>
    <w:p w14:paraId="766709B6" w14:textId="77777777" w:rsidR="002406A3" w:rsidRPr="000E34EC" w:rsidRDefault="002406A3" w:rsidP="000E34EC">
      <w:pPr>
        <w:rPr>
          <w:sz w:val="20"/>
          <w:szCs w:val="20"/>
        </w:rPr>
      </w:pPr>
    </w:p>
    <w:p w14:paraId="0E8E5ABC" w14:textId="77777777" w:rsidR="000E34EC" w:rsidRPr="00DC055A" w:rsidRDefault="000E34EC" w:rsidP="000E34EC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" w:hAnsi="Cambria" w:cs="Times"/>
          <w:color w:val="000000"/>
        </w:rPr>
      </w:pPr>
      <w:r w:rsidRPr="00DC055A">
        <w:rPr>
          <w:rFonts w:ascii="Cambria" w:hAnsi="Cambria" w:cs="Times"/>
          <w:color w:val="000000"/>
        </w:rPr>
        <w:t xml:space="preserve">Seeking Assistance: </w:t>
      </w:r>
    </w:p>
    <w:p w14:paraId="063BA914" w14:textId="77777777" w:rsidR="000E34EC" w:rsidRPr="00DC055A" w:rsidRDefault="000E34EC" w:rsidP="000E34EC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Times"/>
          <w:color w:val="000000"/>
        </w:rPr>
      </w:pPr>
      <w:r w:rsidRPr="00DC055A">
        <w:rPr>
          <w:rFonts w:ascii="Cambria" w:hAnsi="Cambria" w:cs="Cambria"/>
          <w:color w:val="000000"/>
        </w:rPr>
        <w:t xml:space="preserve">In seeking assistance, your child’s safety is the first consideration. The child should </w:t>
      </w:r>
      <w:r w:rsidRPr="00DC055A">
        <w:rPr>
          <w:rFonts w:ascii="Cambria" w:hAnsi="Cambria" w:cs="Times"/>
          <w:color w:val="000000"/>
        </w:rPr>
        <w:t xml:space="preserve">never </w:t>
      </w:r>
      <w:r w:rsidRPr="00DC055A">
        <w:rPr>
          <w:rFonts w:ascii="Cambria" w:hAnsi="Cambria" w:cs="Cambria"/>
          <w:color w:val="000000"/>
        </w:rPr>
        <w:t xml:space="preserve">be left alone during this crisis. If your child has a physician or therapist, call to alert them of the situation. Alternatively, the </w:t>
      </w:r>
      <w:r w:rsidRPr="00DC055A">
        <w:rPr>
          <w:rFonts w:ascii="Cambria" w:hAnsi="Cambria" w:cs="Cambria"/>
          <w:b/>
          <w:color w:val="000000"/>
        </w:rPr>
        <w:t>National Suicide Prevention</w:t>
      </w:r>
      <w:r w:rsidRPr="00DC055A">
        <w:rPr>
          <w:rFonts w:ascii="Cambria" w:hAnsi="Cambria" w:cs="Cambria"/>
          <w:color w:val="000000"/>
        </w:rPr>
        <w:t xml:space="preserve"> </w:t>
      </w:r>
      <w:r w:rsidRPr="00DC055A">
        <w:rPr>
          <w:rFonts w:ascii="Cambria" w:hAnsi="Cambria" w:cs="Cambria"/>
          <w:b/>
          <w:color w:val="000000"/>
        </w:rPr>
        <w:t xml:space="preserve">hotline </w:t>
      </w:r>
      <w:r w:rsidRPr="00DC055A">
        <w:rPr>
          <w:rFonts w:ascii="Cambria" w:hAnsi="Cambria" w:cs="Cambria"/>
          <w:color w:val="000000"/>
        </w:rPr>
        <w:t xml:space="preserve">can be called at 888-359-8255, the </w:t>
      </w:r>
      <w:r w:rsidRPr="00DC055A">
        <w:rPr>
          <w:rFonts w:ascii="Cambria" w:hAnsi="Cambria" w:cs="Cambria"/>
          <w:b/>
          <w:color w:val="000000"/>
        </w:rPr>
        <w:t>Memphis Crisis Center</w:t>
      </w:r>
      <w:r w:rsidRPr="00DC055A">
        <w:rPr>
          <w:rFonts w:ascii="Cambria" w:hAnsi="Cambria" w:cs="Cambria"/>
          <w:color w:val="000000"/>
        </w:rPr>
        <w:t xml:space="preserve"> at 901-274-7477, or in severe cases, call </w:t>
      </w:r>
      <w:r w:rsidRPr="00DC055A">
        <w:rPr>
          <w:rFonts w:ascii="Cambria" w:hAnsi="Cambria" w:cs="Cambria"/>
          <w:b/>
          <w:color w:val="000000"/>
        </w:rPr>
        <w:t>911</w:t>
      </w:r>
      <w:r w:rsidRPr="00DC055A">
        <w:rPr>
          <w:rFonts w:ascii="Cambria" w:hAnsi="Cambria" w:cs="Cambria"/>
          <w:color w:val="000000"/>
        </w:rPr>
        <w:t>.</w:t>
      </w:r>
    </w:p>
    <w:p w14:paraId="39D22262" w14:textId="77777777" w:rsidR="000E34EC" w:rsidRDefault="000E34EC" w:rsidP="000E34EC">
      <w:pPr>
        <w:rPr>
          <w:rFonts w:ascii="Cambria" w:hAnsi="Cambria"/>
        </w:rPr>
      </w:pPr>
    </w:p>
    <w:p w14:paraId="4D7DD355" w14:textId="77777777" w:rsidR="000E34EC" w:rsidRDefault="000E34EC" w:rsidP="000E34EC">
      <w:pPr>
        <w:rPr>
          <w:rFonts w:ascii="Cambria" w:hAnsi="Cambria"/>
        </w:rPr>
      </w:pPr>
    </w:p>
    <w:p w14:paraId="6F213386" w14:textId="77777777" w:rsidR="000E34EC" w:rsidRDefault="000E34EC" w:rsidP="000E34EC">
      <w:pPr>
        <w:rPr>
          <w:rFonts w:ascii="Cambria" w:hAnsi="Cambria"/>
        </w:rPr>
      </w:pPr>
    </w:p>
    <w:p w14:paraId="67C29F1A" w14:textId="77777777" w:rsidR="000E34EC" w:rsidRDefault="000E34EC" w:rsidP="000E34EC">
      <w:pPr>
        <w:rPr>
          <w:rFonts w:ascii="Cambria" w:hAnsi="Cambria"/>
        </w:rPr>
      </w:pPr>
    </w:p>
    <w:p w14:paraId="305E995D" w14:textId="77777777" w:rsidR="000E34EC" w:rsidRDefault="000E34EC" w:rsidP="000E34EC">
      <w:pPr>
        <w:rPr>
          <w:rFonts w:ascii="Cambria" w:hAnsi="Cambria"/>
        </w:rPr>
      </w:pPr>
    </w:p>
    <w:p w14:paraId="69EC7F2E" w14:textId="77777777" w:rsidR="002406A3" w:rsidRPr="000E34EC" w:rsidRDefault="002406A3" w:rsidP="000E34EC">
      <w:pPr>
        <w:rPr>
          <w:sz w:val="20"/>
          <w:szCs w:val="20"/>
        </w:rPr>
      </w:pPr>
    </w:p>
    <w:p w14:paraId="30D7EF7D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670B57D6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3935AD3F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5B441111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5D4FA871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53FDED23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4F7F3BBE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5F23D4AB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7CA28C7E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02F4BEF4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024E4FD1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1158A8BF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114E6B1F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087037E9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541D970A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0E384787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201CAEBB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0768079D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3CF8D70B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16964F2E" w14:textId="77777777" w:rsidR="002406A3" w:rsidRPr="0026140F" w:rsidRDefault="002406A3" w:rsidP="0026140F">
      <w:pPr>
        <w:rPr>
          <w:sz w:val="20"/>
          <w:szCs w:val="20"/>
        </w:rPr>
      </w:pPr>
    </w:p>
    <w:p w14:paraId="1F6856A7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00D10E54" w14:textId="77777777" w:rsidR="002406A3" w:rsidRDefault="002406A3" w:rsidP="002406A3">
      <w:pPr>
        <w:pStyle w:val="ListParagraph"/>
        <w:rPr>
          <w:sz w:val="20"/>
          <w:szCs w:val="20"/>
        </w:rPr>
      </w:pPr>
    </w:p>
    <w:p w14:paraId="401CFBC8" w14:textId="77777777" w:rsidR="002406A3" w:rsidRPr="002406A3" w:rsidRDefault="002406A3" w:rsidP="002406A3">
      <w:pPr>
        <w:pStyle w:val="ListParagraph"/>
      </w:pPr>
      <w:r w:rsidRPr="002406A3">
        <w:t>Information obtained from Toolkit for Mental Health Promotion and Suicide Prevention-Compiled by:  Shashank V. Joshi, MD, Mary Ojakian, RN, Linda Lenoir, RN, MSN, CNS, and Jasmine Lopez, MA, NCC</w:t>
      </w:r>
    </w:p>
    <w:p w14:paraId="32F3FDFA" w14:textId="77777777" w:rsidR="002406A3" w:rsidRPr="002406A3" w:rsidRDefault="002406A3" w:rsidP="002406A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20" w:lineRule="atLeast"/>
        <w:ind w:left="360"/>
        <w:rPr>
          <w:rFonts w:cs="Times"/>
          <w:color w:val="000000"/>
        </w:rPr>
      </w:pPr>
    </w:p>
    <w:p w14:paraId="680A29FD" w14:textId="0331BF20" w:rsidR="006D5249" w:rsidRPr="002406A3" w:rsidRDefault="00B777E9" w:rsidP="002406A3">
      <w:pPr>
        <w:widowControl w:val="0"/>
        <w:autoSpaceDE w:val="0"/>
        <w:autoSpaceDN w:val="0"/>
        <w:adjustRightInd w:val="0"/>
        <w:spacing w:after="240"/>
        <w:ind w:left="360"/>
        <w:rPr>
          <w:rFonts w:ascii="Cambria" w:hAnsi="Cambria" w:cs="Times"/>
          <w:color w:val="000000"/>
        </w:rPr>
      </w:pPr>
    </w:p>
    <w:sectPr w:rsidR="006D5249" w:rsidRPr="002406A3" w:rsidSect="00EF08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CD0644"/>
    <w:multiLevelType w:val="hybridMultilevel"/>
    <w:tmpl w:val="1F58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6E96"/>
    <w:multiLevelType w:val="hybridMultilevel"/>
    <w:tmpl w:val="8DC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0DC4"/>
    <w:multiLevelType w:val="hybridMultilevel"/>
    <w:tmpl w:val="7C72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F15A5"/>
    <w:multiLevelType w:val="hybridMultilevel"/>
    <w:tmpl w:val="3E02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0E06"/>
    <w:multiLevelType w:val="hybridMultilevel"/>
    <w:tmpl w:val="4F84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1E1D"/>
    <w:multiLevelType w:val="hybridMultilevel"/>
    <w:tmpl w:val="0664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6"/>
    <w:rsid w:val="00056F80"/>
    <w:rsid w:val="000E34EC"/>
    <w:rsid w:val="002406A3"/>
    <w:rsid w:val="0026140F"/>
    <w:rsid w:val="0065611A"/>
    <w:rsid w:val="007F29D6"/>
    <w:rsid w:val="0082153E"/>
    <w:rsid w:val="00B777E9"/>
    <w:rsid w:val="00C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205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E"/>
    <w:pPr>
      <w:ind w:left="720"/>
      <w:contextualSpacing/>
    </w:pPr>
  </w:style>
  <w:style w:type="paragraph" w:styleId="NoSpacing">
    <w:name w:val="No Spacing"/>
    <w:uiPriority w:val="1"/>
    <w:qFormat/>
    <w:rsid w:val="0024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2018-07-30T15:54:00Z</dcterms:created>
  <dcterms:modified xsi:type="dcterms:W3CDTF">2018-08-06T18:53:00Z</dcterms:modified>
</cp:coreProperties>
</file>