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NOTIFICACION DE LOS PADRES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Bajo el Acto de Educación de Primaria y Secundaria (ESEA)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Acto de Educación de Primaria y Secundaria (ESEA) modificado en Diciembre 2015 por el Acto Todos Alumnos Logra (ESSA) clarifica que el Congreso espera que las agencias de educación locales (LEAs) y escuelas que reciben fondos federales se aseguran que los padres están activamente involucrados y saben sobre sus escuelas y la educación de sus hijos. La ley requiere que las escuelas den a los padres muchos diferentes tipos de información y noticias en una forma uniforme y formato entendible y, cuando es practico, en un lenguaje que los padres entiendan.  Listados abajo están algunos de las noticias requeridas que deben darse a los padres por los distritos o escuelas publicas individuales.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r w:rsidDel="00000000" w:rsidR="00000000" w:rsidRPr="00000000">
        <w:rPr>
          <w:rtl w:val="0"/>
        </w:rPr>
        <w:t xml:space="preserve">Calificaciones de Maestros y Maestros Muy Efectivos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comienzo de cada año, una (LEA) debe notificar a los padres que pueden pedir, y la (LEA) proveerá, información sobre cuales profesionales son muy efectivos inclusive las calificaciones de los maestros de los alumnos y paraprofessionales.  Esto incluye información sobre la maestra del alumno:</w:t>
      </w:r>
    </w:p>
    <w:p w:rsidR="00000000" w:rsidDel="00000000" w:rsidP="00000000" w:rsidRDefault="00000000" w:rsidRPr="00000000" w14:paraId="00000009">
      <w:p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1)</w:t>
        <w:tab/>
        <w:t xml:space="preserve">ha cumplido con calificaciones del estado y criterios de licencia para los grados y materias que la maestra provee instrucción;</w:t>
      </w:r>
    </w:p>
    <w:p w:rsidR="00000000" w:rsidDel="00000000" w:rsidP="00000000" w:rsidRDefault="00000000" w:rsidRPr="00000000" w14:paraId="0000000A">
      <w:p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2)</w:t>
        <w:tab/>
        <w:t xml:space="preserve">esta enseñando bajo emergencia o estado provisional por la cual calificación del estado o criterios de licencia ha sido renunciado;</w:t>
      </w:r>
    </w:p>
    <w:p w:rsidR="00000000" w:rsidDel="00000000" w:rsidP="00000000" w:rsidRDefault="00000000" w:rsidRPr="00000000" w14:paraId="0000000B">
      <w:p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3)</w:t>
        <w:tab/>
        <w:t xml:space="preserve">esta enseñado en una disciplina que no tiene certificación; y</w:t>
      </w:r>
    </w:p>
    <w:p w:rsidR="00000000" w:rsidDel="00000000" w:rsidP="00000000" w:rsidRDefault="00000000" w:rsidRPr="00000000" w14:paraId="0000000C">
      <w:p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4)</w:t>
        <w:tab/>
        <w:t xml:space="preserve">esta enseñando con paraprofessionales y, si es necesario, las calificaciones del paraprofessional</w:t>
      </w:r>
      <w:r w:rsidDel="00000000" w:rsidR="00000000" w:rsidRPr="00000000">
        <w:rPr>
          <w:rFonts w:ascii="Arial" w:cs="Arial" w:eastAsia="Arial" w:hAnsi="Arial"/>
          <w:rtl w:val="0"/>
        </w:rPr>
        <w:t xml:space="preserve"> [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ESSA § 1112(e)(1)(A)].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/>
      </w:pPr>
      <w:r w:rsidDel="00000000" w:rsidR="00000000" w:rsidRPr="00000000">
        <w:rPr>
          <w:rtl w:val="0"/>
        </w:rPr>
        <w:t xml:space="preserve">Privacidad del Alumno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Distritos deben darle a los padres notificación anual en el comienzo del año escolar de las fechas aproximadas durante el año cuando los siguientes actividades están programados: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Actividades involucrando la colección, revelación, o uso de información personal del alumno por el propósito de marketing o venta de esta información;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Administración de cuestionarios que contienen solicitud de ciertos tipos de información sensitiva; 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360"/>
        <w:rPr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Cualquier examen físico invasivo que es requerido como condición de asistencia, administrado por la escuela, programado en avance, y que no sea necesario para proteger la salud inmediata y salud del alumno.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distrito debe desarrollar y adoptar políticas sobre los derechos de los padres para inspeccionar: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Cuestionarios antes de que sean administrados o distribuidos a los alumnos;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Medidas para proteger la privacidad de alumnos cuando los cuestionarios piden a los alumnos información sensible;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Cualquier material de instrucción;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Administración de examinaciones físicos o académicos;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Colección, revelación, o uso de información personal de los alumnos por el propósito de marketing o vendiendo esa información;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derecho de los padres para inspeccionar cualquier instrumento usado para colectar información personal antes de que esta distribuido a los alumnos.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Distritos deben darle a los padres notificación de adopción o uso continuo de políticas y entre un periodo razonable de tiempo después de cambios substantivos de esas políticas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[20 U.S.C. 1232g].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/>
      </w:pPr>
      <w:r w:rsidDel="00000000" w:rsidR="00000000" w:rsidRPr="00000000">
        <w:rPr>
          <w:rtl w:val="0"/>
        </w:rPr>
        <w:t xml:space="preserve">Comunicación Publica de Información del Directorio Estudiantil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Bajo el Acto de Derechos y Privacidad de la Familia (FERPA), una LEA debe proveer notificación a los padres del tipo de información que comunicara públicamente.  Este tipo de información estudiantil, comúnmente denominado como “Información del Directorio” incluye cosas como nombres, direcciones, y números de teléfono y esta información generalmente no es considerada peligrosa o invasión de privacidad.  La notificación debe incluir una explicación de los derechos de los padres en pedir que esa información no sea comunicado sin permiso escrito.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Adicionalmente, ESSA requiere que los padres sean notificados  que las escuelas regularmente dan nombres, direcciones, y números de teléfono a reclutadores militares a pedido, sujeto al pedido de los padres que no den la información sin permiso escrito. [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§8025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].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sola notificación será proveída por correo, manual de alumno, o otro método que esta razonablemente calculada para informar a los padres de la información arriba si es suficiente para satisfacer los requerimientos de FERPA y ESSA.  La notificación debe aconsejar a los padres como rechazar la comunicación publica de información de directorio y el método y tiempo en la cual va a hacerlo.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[20 U.S.C. 1232g] [ESEA §8025].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/>
      </w:pPr>
      <w:r w:rsidDel="00000000" w:rsidR="00000000" w:rsidRPr="00000000">
        <w:rPr>
          <w:rtl w:val="0"/>
        </w:rPr>
        <w:t xml:space="preserve">Acceso del Reclutador Militar a Información del Alumno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Distritos que reciben fondos federales para educación deben notificar a los padres de alumnos secundarios que tienen el derecho de rechazar que su información sea comunicado con un reclutador militar sin permiso escrita.  El distrito debe complacer con estos peticiones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§8528(a)(2)(B)].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rPr/>
      </w:pPr>
      <w:r w:rsidDel="00000000" w:rsidR="00000000" w:rsidRPr="00000000">
        <w:rPr>
          <w:rtl w:val="0"/>
        </w:rPr>
        <w:t xml:space="preserve">Participación de los Padres y la Familia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distrito que recibe fondos Titulo I debe desarrollar conjuntamente con, estar de acuerdo con, y distribuir a padres y miembros de la familia de los niños una política de participación de los padres y la familia.  Cada escuela servida bajo Titulo I debe también desarrollar conjuntamente con, estar de acuerdo con, y distribuir a padres y miembros de la familia de los niños una política de participación de los padres y la familia.  Si una escuela individua o distrito tiene una política de participación de padres y familia que aplica a todos, debe ser enmendado la política para complacer con los requerimientos bajo la ESEA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Title I, Part A, §1116(a)(2)] [20 U.S.C. §6318(b); (c)].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Padres deben ser notificados de la política en una forma entendible y uniforme en un lenguaje que el padre pueda entender.  Esta política debe ser disponible a la comunidad local y actualizada periódicamente para complacer con las necesidades de los padres y la escuela.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[ESEA Title I, Part A, §1116(b)(1)].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Escuelas deben: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una reunión anual para los padres de Titulo I;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Ofrecer muchas reuniones flexibles;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Involucrar a los padres y familias regularmente en planeamiento, repaso, y mejoramiento de programas Titulo 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Proveer padres y familias de Titulo I con información sobre los programas, una descripción y explanación del currículo, formas de exámenes académicas y niveles de proficiencia esperada;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es pedido, proveer oportunidades para reuniones regulares para discutir decisiones relacionadas con la educación de sus hijos; 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990" w:hanging="360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Desarrollar un compacto de escuela-padre que describe las responsabilidades de cada grupo para mejorar los logros académicos de los alumnos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Title I, Part A, §1116(c)]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Reportes de Evaluación Estatal Académica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Cada distrito escolar que recibe fondos Titulo I Parte A debe preparar y diseminar un reporte de evaluación anual.  Generalmente, el estado o el distrito debe incluir en su reporte de evaluación información sobre escuelas publicas relacionado con logro estudiantil, responsabilidad, calificaciones de maestro y otra información requerida, y también cualquier otra información que el estado o distrito piensa que es relevante.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Estos reportes de evaluación deben ser concisos y presentados en una forma entendible y formato uniforme que es accesible para personas con deshabilitadas y cuando es practico, proveer en un lenguaje que los padres puedan entender.  En Tennessee,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estos requerimientos se cumplan con el reporte de evaluación del estado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Title I, Part A, §1111(h)(1) and (h)(2)].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rPr/>
      </w:pPr>
      <w:r w:rsidDel="00000000" w:rsidR="00000000" w:rsidRPr="00000000">
        <w:rPr>
          <w:rtl w:val="0"/>
        </w:rPr>
        <w:t xml:space="preserve">Logros en la Evaluación del Estado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Todas las escuelas deben proveer a los padres, maestros, y directores los reportes interpretativos, descriptivos y diagnósticos de cada alumno individual, que deja que las necesidades especificas académicas sean entendidas y cumplidas, y incluye información de los logros del alumno en evaluaciones académicos alineados con los estándares de logros académicos del estado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§1111(b)(2)(B)(x)].</w:t>
      </w:r>
    </w:p>
    <w:p w:rsidR="00000000" w:rsidDel="00000000" w:rsidP="00000000" w:rsidRDefault="00000000" w:rsidRPr="00000000" w14:paraId="0000003D">
      <w:pPr>
        <w:tabs>
          <w:tab w:val="left" w:pos="3555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E">
      <w:pPr>
        <w:pStyle w:val="Heading3"/>
        <w:rPr/>
      </w:pPr>
      <w:r w:rsidDel="00000000" w:rsidR="00000000" w:rsidRPr="00000000">
        <w:rPr>
          <w:rtl w:val="0"/>
        </w:rPr>
        <w:t xml:space="preserve">Evaluación Nacional de Progreso Educacional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Distritos, escuelas, y alumnos deben voluntariamente  participar en La Evaluación Nacional de Progreso Educacional (NAEP).  Padres de los niños seleccionados a participar en cualquier evaluación NAEP debe ser informado antes de que la evaluación sea administrado que su niño puede ser escusado por participar por cualquier razón, no esta requerido a terminar cualquier evaluación, y no esta requerido a responder una pregunta en el examen.  Un distrito debe hacer esfuerzos razonables a informar a los padres y al publico sobre sus derechos de acceder toda la información del examen (excepto información que puede personalmente identificar), preguntas, y instrumentos de examinación actuales.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Title VI, Part C, §411(c)(1); (d)(1)–(2))].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rPr/>
      </w:pPr>
      <w:r w:rsidDel="00000000" w:rsidR="00000000" w:rsidRPr="00000000">
        <w:rPr>
          <w:rtl w:val="0"/>
        </w:rPr>
        <w:t xml:space="preserve">Programas Para Toda la Escuela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Una escuela elegible que esta usando un programa para toda la escuela debe hacer un plan compresivo disponible a la LEA, padres, y al publico.  La información contenida en el plan debe ser entendible y de un formato uniforme, y cuando es practico sea en un lenguaje que los padres puedan entender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[20 U.S.C. §6314][ESEA Title I, Part A, §1114].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rPr/>
      </w:pPr>
      <w:r w:rsidDel="00000000" w:rsidR="00000000" w:rsidRPr="00000000">
        <w:rPr>
          <w:rtl w:val="0"/>
        </w:rPr>
        <w:t xml:space="preserve">Programas de Aprendizaje de Ingles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distrito escolar que usa fondos federales para proveer un programa educativo de instrucción de lenguaje para aprendedores de ingles debe identificar a los alumnos y informar a los padres antes de 30 días después de que empiece el año escolar las razones que califica para este programa: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Las razones por la identificación del niño como aprendedor de Ingles;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nivel de proficiencia en ingles;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Como ese nivel fue determinado y el estado de logro académico del niño;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Métodos de instrucción usadas en el programa en que su niño esta participando y los métodos de instrucción usadas en otros programas disponibles;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Como el programa complacerá con las cosas educacionales que su niño sabe y las cosas que no sabe;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Como el programa específicamente ayudara a su niño a aprender ingles y complacer con estándares de logros académicos apropiadas para la edad del niño para promoción de grado y graduación;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 requerimientos específicos de salida del programa;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caso que es un niño con discapacidad, como el programa complacerá con los objetivos del IEP; 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99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Información sobre los derechos de los padres detallando los derechos de los padres en inmediatamente sacar a su niño del programa y los opciones que tienen los padres en no permitir que su niño participe en el programa o elegir otro programa y método de instrucción. 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un niño no identificado como aprendedor de ingles  antes de empezar el año, el distrito debe notificar a los padres entre los primeros dos semanas que su niño esta en ese programa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Title I, Part A, §1112].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rPr>
          <w:color w:val="ff0000"/>
        </w:rPr>
      </w:pPr>
      <w:r w:rsidDel="00000000" w:rsidR="00000000" w:rsidRPr="00000000">
        <w:rPr>
          <w:rtl w:val="0"/>
        </w:rPr>
        <w:t xml:space="preserve">Niños Sin Hogar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ser elegible por fondos McKinney-Vento, la escuela debe proveer notificación escrita en el tiempo que el niño intenta asistir a la escuela, y por lo menos dos veces anuales cuando en niño esta asistiendo a la escuela, al padre o guardián o joven no acompañado; que establece los derechos generales; y específicamente dice que: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elección de escuelas que los niños sin hogar pueden asistir;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ningún niño sin hogar esta requerido a asistir una escuela diferente para niños  sin hogar;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niños sin hogar están proveídos servicios comparables inclusive transportación, educación, y comida; 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259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 los niños sin hogar no deben ser estigmatizados por empleados de la escuela. </w:t>
      </w:r>
    </w:p>
    <w:p w:rsidR="00000000" w:rsidDel="00000000" w:rsidP="00000000" w:rsidRDefault="00000000" w:rsidRPr="00000000" w14:paraId="00000059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el distrito manda a un niño a una escuela que no sea la escuela de origen o la escuela pedida por el padre o guardián, el distrito debe proveer a los padres explicación escrita y notificación que pueden apelar la decisión.  La información debe ser proveído cuando una hay disputa sobre seleccionamiento de escuela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[ESSA Title IX, Part C, §722(g)(3)(B)]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Cada representativo para niños y jóvenes sin hogar de la LEA debe asegurarse que los padres o guardianes de los niños o jóvenes están informados de las oportunidades educacionales que sus niños están proveídos con oportunidades a participar en la educación de sus niños.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[ESSA Title IX, Part C, §722(g)(6)(A)(iv)]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Noticia publica de los derechos educacionales de niños y jóvenes sin hogar esta diseminada donde estos niños pueden recibir servicios bajo el Acto McKinney-Vento, como escuelas, refugios para familias, y cocinas de sopa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[ESSA Title X, Part C, §722(g)(6)(A)(v)].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rPr/>
      </w:pPr>
      <w:r w:rsidDel="00000000" w:rsidR="00000000" w:rsidRPr="00000000">
        <w:rPr>
          <w:rtl w:val="0"/>
        </w:rPr>
        <w:t xml:space="preserve">Centros de Aprendizaje de la Comunidad del Siglo 21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 programa o actividad fundada como parte del Centro de Aprendizaje de la Comunidad del Siglo 21 proveyendo actividades antes y después de la escuela para avanzar los logros académicos de los alumnos deben someterse a evaluaciones periódicos para evaluar si están progresando a logrando su meta de proveer oportunidades de alta calidad para enriquecimiento académico. Los resultados de las evaluaciones deben ser disponibles al publico cuando se piden y noticia publica de esta disponibilidad proveída.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[ESEA §4205(b)(2)].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rPr/>
      </w:pPr>
      <w:r w:rsidDel="00000000" w:rsidR="00000000" w:rsidRPr="00000000">
        <w:rPr>
          <w:rtl w:val="0"/>
        </w:rPr>
        <w:t xml:space="preserve">Solicitud de Renuncia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un distrito escolar solicita que La Secretaria de Educación del E.E.U.U renunciar a cualquier disposición de la ESEA, debe proveer notificación e información sobre la renuncia al publico en la manera que es costumbre proveer notificación publica.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[20 U.S.C. §7861(b)(3)(B)] [ESEA Title IX, Part D, §8401(b)(3)(B)(ii)].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152" w:right="115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center" w:pos="4680"/>
        <w:tab w:val="right" w:pos="9360"/>
      </w:tabs>
      <w:spacing w:after="72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Fonts w:ascii="Calibri" w:cs="Calibri" w:eastAsia="Calibri" w:hAnsi="Calibri"/>
        <w:rtl w:val="0"/>
      </w:rPr>
      <w:t xml:space="preserve">August 2017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85090</wp:posOffset>
          </wp:positionV>
          <wp:extent cx="1661024" cy="659219"/>
          <wp:effectExtent b="0" l="0" r="0" t="0"/>
          <wp:wrapNone/>
          <wp:docPr descr="C:\Users\CA19029\Documents\Brand and Style Rollout\Updated dept logo\TN Dept of Education ColorPMS -«.png" id="1" name="image1.png"/>
          <a:graphic>
            <a:graphicData uri="http://schemas.openxmlformats.org/drawingml/2006/picture">
              <pic:pic>
                <pic:nvPicPr>
                  <pic:cNvPr descr="C:\Users\CA19029\Documents\Brand and Style Rollout\Updated dept logo\TN Dept of Education ColorPMS -«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1024" cy="6592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center" w:pos="4680"/>
        <w:tab w:val="right" w:pos="9360"/>
      </w:tabs>
      <w:spacing w:before="720" w:lineRule="auto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tabs>
        <w:tab w:val="center" w:pos="4680"/>
        <w:tab w:val="right" w:pos="9360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Parental Notification</w:t>
    </w:r>
  </w:p>
  <w:p w:rsidR="00000000" w:rsidDel="00000000" w:rsidP="00000000" w:rsidRDefault="00000000" w:rsidRPr="00000000" w14:paraId="00000074">
    <w:pPr>
      <w:tabs>
        <w:tab w:val="center" w:pos="4680"/>
        <w:tab w:val="right" w:pos="9360"/>
      </w:tabs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✓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120" w:lineRule="auto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