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9D" w:rsidRDefault="006B729D">
      <w:pPr>
        <w:pStyle w:val="Heading1"/>
        <w:jc w:val="right"/>
      </w:pPr>
      <w:r>
        <w:tab/>
      </w:r>
      <w:r>
        <w:tab/>
      </w:r>
      <w:r>
        <w:tab/>
      </w:r>
      <w:r>
        <w:tab/>
      </w:r>
      <w:r>
        <w:tab/>
      </w:r>
      <w:r>
        <w:tab/>
      </w:r>
      <w:r>
        <w:tab/>
      </w:r>
      <w:r>
        <w:tab/>
        <w:t>JICI</w:t>
      </w:r>
    </w:p>
    <w:p w:rsidR="006B729D" w:rsidRDefault="006B729D">
      <w:pPr>
        <w:pStyle w:val="Heading1"/>
      </w:pPr>
    </w:p>
    <w:p w:rsidR="006B729D" w:rsidRDefault="006B729D">
      <w:pPr>
        <w:pStyle w:val="Heading1"/>
      </w:pPr>
    </w:p>
    <w:p w:rsidR="006B729D" w:rsidRDefault="006B729D">
      <w:pPr>
        <w:pStyle w:val="Heading1"/>
      </w:pPr>
      <w:r>
        <w:t>DANGEROUS WEAPONS ON SCHOOL PROPERTY</w:t>
      </w:r>
    </w:p>
    <w:p w:rsidR="006B729D" w:rsidRPr="006B729D" w:rsidRDefault="006B729D">
      <w:pPr>
        <w:rPr>
          <w:strike/>
          <w:color w:val="FF0000"/>
          <w:sz w:val="24"/>
        </w:rPr>
      </w:pPr>
    </w:p>
    <w:p w:rsidR="006B729D" w:rsidRDefault="006B729D">
      <w:pPr>
        <w:rPr>
          <w:sz w:val="24"/>
        </w:rPr>
      </w:pPr>
    </w:p>
    <w:p w:rsidR="006B729D" w:rsidRPr="00233137" w:rsidRDefault="006B729D" w:rsidP="006B729D">
      <w:pPr>
        <w:pStyle w:val="BodyText"/>
        <w:rPr>
          <w:bCs/>
          <w:color w:val="000000"/>
        </w:rPr>
      </w:pPr>
      <w:r w:rsidRPr="00233137">
        <w:rPr>
          <w:bCs/>
          <w:color w:val="000000"/>
        </w:rPr>
        <w:t>Guns and Firearms - Students:</w:t>
      </w:r>
    </w:p>
    <w:p w:rsidR="0099583B" w:rsidRPr="00233137" w:rsidRDefault="0099583B" w:rsidP="006B729D">
      <w:pPr>
        <w:pStyle w:val="BodyText"/>
        <w:rPr>
          <w:bCs/>
          <w:color w:val="000000"/>
        </w:rPr>
      </w:pPr>
    </w:p>
    <w:p w:rsidR="006B729D" w:rsidRPr="00233137" w:rsidRDefault="006B729D" w:rsidP="006B729D">
      <w:pPr>
        <w:pStyle w:val="BodyText"/>
        <w:rPr>
          <w:color w:val="000000"/>
        </w:rPr>
      </w:pPr>
      <w:r w:rsidRPr="00233137">
        <w:rPr>
          <w:color w:val="000000"/>
        </w:rPr>
        <w:t>Any pupil who brings or possesses a firearm as defined in section 921 of Title 18 of the United States Code in a safe school zone as defined in RSA 193-D:1 without written authorization from the superintendent or designee shall be expelled from school by the local school board for a period of not less than 12 months.  This expulsion may be modified by the Superintendent upon review of the specific case in accordance with other applicable law.</w:t>
      </w:r>
    </w:p>
    <w:p w:rsidR="0099583B" w:rsidRPr="00233137" w:rsidRDefault="0099583B" w:rsidP="006B729D">
      <w:pPr>
        <w:pStyle w:val="BodyText"/>
        <w:rPr>
          <w:color w:val="000000"/>
        </w:rPr>
      </w:pPr>
    </w:p>
    <w:p w:rsidR="006B729D" w:rsidRPr="00233137" w:rsidRDefault="006B729D" w:rsidP="006B729D">
      <w:pPr>
        <w:pStyle w:val="BodyText"/>
        <w:rPr>
          <w:color w:val="000000"/>
        </w:rPr>
      </w:pPr>
      <w:r w:rsidRPr="00233137">
        <w:rPr>
          <w:color w:val="000000"/>
        </w:rPr>
        <w:t>Pursuant to the provisions of 20 U.S.C. § 7151, Gun-Free Schools Act, the Board requires the Superintendent to contact local law enforcement authorities and/or the Division of Children and Youth Services and notify them of any student who brings a firearm or weapon on school property.</w:t>
      </w:r>
    </w:p>
    <w:p w:rsidR="0099583B" w:rsidRPr="00233137" w:rsidRDefault="0099583B" w:rsidP="006B729D">
      <w:pPr>
        <w:pStyle w:val="BodyText"/>
        <w:rPr>
          <w:color w:val="000000"/>
        </w:rPr>
      </w:pPr>
    </w:p>
    <w:p w:rsidR="006B729D" w:rsidRPr="00233137" w:rsidRDefault="006B729D" w:rsidP="006B729D">
      <w:pPr>
        <w:pStyle w:val="BodyText"/>
        <w:rPr>
          <w:color w:val="000000"/>
        </w:rPr>
      </w:pPr>
      <w:r w:rsidRPr="00233137">
        <w:rPr>
          <w:color w:val="000000"/>
        </w:rPr>
        <w:t>Weapons under control of law enforcement personnel are permitted.</w:t>
      </w:r>
    </w:p>
    <w:p w:rsidR="0099583B" w:rsidRPr="00233137" w:rsidRDefault="0099583B" w:rsidP="006B729D">
      <w:pPr>
        <w:pStyle w:val="BodyText"/>
        <w:rPr>
          <w:color w:val="000000"/>
        </w:rPr>
      </w:pPr>
    </w:p>
    <w:p w:rsidR="006B729D" w:rsidRPr="00233137" w:rsidRDefault="006B729D" w:rsidP="006B729D">
      <w:pPr>
        <w:pStyle w:val="BodyText"/>
        <w:rPr>
          <w:color w:val="000000"/>
        </w:rPr>
      </w:pPr>
      <w:r w:rsidRPr="00233137">
        <w:rPr>
          <w:color w:val="000000"/>
        </w:rPr>
        <w:t>All students will receive written notice of this policy at least once each year.</w:t>
      </w:r>
    </w:p>
    <w:p w:rsidR="0099583B" w:rsidRPr="00233137" w:rsidRDefault="0099583B" w:rsidP="006B729D">
      <w:pPr>
        <w:pStyle w:val="BodyText"/>
        <w:rPr>
          <w:color w:val="000000"/>
        </w:rPr>
      </w:pPr>
    </w:p>
    <w:p w:rsidR="006B729D" w:rsidRPr="00233137" w:rsidRDefault="006B729D" w:rsidP="006B729D">
      <w:pPr>
        <w:pStyle w:val="BodyText"/>
        <w:rPr>
          <w:bCs/>
          <w:color w:val="000000"/>
        </w:rPr>
      </w:pPr>
      <w:r w:rsidRPr="00233137">
        <w:rPr>
          <w:bCs/>
          <w:color w:val="000000"/>
        </w:rPr>
        <w:t>Other weapons:</w:t>
      </w:r>
    </w:p>
    <w:p w:rsidR="0099583B" w:rsidRPr="00233137" w:rsidRDefault="0099583B" w:rsidP="006B729D">
      <w:pPr>
        <w:pStyle w:val="BodyText"/>
        <w:rPr>
          <w:bCs/>
          <w:color w:val="000000"/>
        </w:rPr>
      </w:pPr>
    </w:p>
    <w:p w:rsidR="006B729D" w:rsidRPr="00233137" w:rsidRDefault="006B729D" w:rsidP="006B729D">
      <w:pPr>
        <w:pStyle w:val="BodyText"/>
        <w:rPr>
          <w:color w:val="000000"/>
        </w:rPr>
      </w:pPr>
      <w:r w:rsidRPr="00233137">
        <w:rPr>
          <w:color w:val="000000"/>
        </w:rPr>
        <w:t xml:space="preserve">For the purposes of this policy, "weapon" includes but is not limited to: slung shot, metallic knuckles, </w:t>
      </w:r>
      <w:proofErr w:type="spellStart"/>
      <w:r w:rsidRPr="00233137">
        <w:rPr>
          <w:color w:val="000000"/>
        </w:rPr>
        <w:t>billies</w:t>
      </w:r>
      <w:proofErr w:type="spellEnd"/>
      <w:r w:rsidRPr="00233137">
        <w:rPr>
          <w:color w:val="000000"/>
        </w:rPr>
        <w:t>, knives, electric defense weapons (as defined in RSA 159:20), aerosol self-defense spray weapons (as defined in RSA 159:20), and martial arts weapons (as defined in RSA 159:24).</w:t>
      </w:r>
    </w:p>
    <w:p w:rsidR="0099583B" w:rsidRPr="00233137" w:rsidRDefault="0099583B" w:rsidP="006B729D">
      <w:pPr>
        <w:pStyle w:val="BodyText"/>
        <w:rPr>
          <w:color w:val="000000"/>
        </w:rPr>
      </w:pPr>
    </w:p>
    <w:p w:rsidR="006B729D" w:rsidRPr="00233137" w:rsidRDefault="006B729D" w:rsidP="006B729D">
      <w:pPr>
        <w:pStyle w:val="BodyText"/>
        <w:rPr>
          <w:color w:val="000000"/>
        </w:rPr>
      </w:pPr>
      <w:r w:rsidRPr="00233137">
        <w:rPr>
          <w:color w:val="000000"/>
        </w:rPr>
        <w:t>"Weapon" is further defined as any device, instrument, material or substance, which is used, attempted to be used or threatened to be used is readily capable of causing death or serious physical injury.</w:t>
      </w:r>
    </w:p>
    <w:p w:rsidR="0099583B" w:rsidRPr="00233137" w:rsidRDefault="0099583B" w:rsidP="006B729D">
      <w:pPr>
        <w:pStyle w:val="BodyText"/>
        <w:rPr>
          <w:color w:val="000000"/>
        </w:rPr>
      </w:pPr>
    </w:p>
    <w:p w:rsidR="006B729D" w:rsidRPr="00233137" w:rsidRDefault="006B729D" w:rsidP="006B729D">
      <w:pPr>
        <w:pStyle w:val="BodyText"/>
        <w:rPr>
          <w:color w:val="000000"/>
        </w:rPr>
      </w:pPr>
      <w:r w:rsidRPr="00233137">
        <w:rPr>
          <w:color w:val="000000"/>
        </w:rPr>
        <w:t>Weapons are not permitted in school buildings, on school property, in school vehicles or at school-sponsored activities.  This policy applies to students and members of the public alike.</w:t>
      </w:r>
    </w:p>
    <w:p w:rsidR="0099583B" w:rsidRPr="00233137" w:rsidRDefault="0099583B" w:rsidP="006B729D">
      <w:pPr>
        <w:pStyle w:val="BodyText"/>
        <w:rPr>
          <w:color w:val="000000"/>
        </w:rPr>
      </w:pPr>
    </w:p>
    <w:p w:rsidR="006B729D" w:rsidRPr="00233137" w:rsidRDefault="006B729D" w:rsidP="006B729D">
      <w:pPr>
        <w:pStyle w:val="BodyText"/>
        <w:rPr>
          <w:color w:val="000000"/>
        </w:rPr>
      </w:pPr>
      <w:r w:rsidRPr="00233137">
        <w:rPr>
          <w:color w:val="000000"/>
        </w:rPr>
        <w:t>Student violations of this policy will result in both school disciplinary action and notification of local law enforcement authorities.</w:t>
      </w:r>
    </w:p>
    <w:p w:rsidR="0099583B" w:rsidRPr="00233137" w:rsidRDefault="0099583B" w:rsidP="006B729D">
      <w:pPr>
        <w:pStyle w:val="BodyText"/>
        <w:rPr>
          <w:color w:val="000000"/>
        </w:rPr>
      </w:pPr>
    </w:p>
    <w:p w:rsidR="006B729D" w:rsidRPr="00233137" w:rsidRDefault="006B729D" w:rsidP="006B729D">
      <w:pPr>
        <w:pStyle w:val="BodyText"/>
        <w:rPr>
          <w:color w:val="000000"/>
        </w:rPr>
      </w:pPr>
      <w:r w:rsidRPr="00233137">
        <w:rPr>
          <w:color w:val="000000"/>
        </w:rPr>
        <w:t>Members of the public who violate this policy may be reported to local law enforcement authorities, if possession of the weapon is used in a threatening, harassing or intimidating manner.</w:t>
      </w:r>
    </w:p>
    <w:p w:rsidR="0099583B" w:rsidRPr="00233137" w:rsidRDefault="0099583B" w:rsidP="006B729D">
      <w:pPr>
        <w:pStyle w:val="BodyText"/>
        <w:rPr>
          <w:color w:val="000000"/>
        </w:rPr>
      </w:pPr>
    </w:p>
    <w:p w:rsidR="006B729D" w:rsidRPr="00233137" w:rsidRDefault="006B729D" w:rsidP="006B729D">
      <w:pPr>
        <w:pStyle w:val="BodyText"/>
        <w:rPr>
          <w:color w:val="000000"/>
        </w:rPr>
      </w:pPr>
      <w:r w:rsidRPr="00233137">
        <w:rPr>
          <w:color w:val="000000"/>
        </w:rPr>
        <w:t>The superintendent or other building administrator may exercise his/her best judgment in determining the scope of this policy as it relates to inadvertent or unintentional violations of this policy by adults, provided such inadvertent or unintentional violation of this policy does not affect the safety of students, school staff or the public.</w:t>
      </w:r>
    </w:p>
    <w:p w:rsidR="0099583B" w:rsidRPr="00034754" w:rsidRDefault="0099583B" w:rsidP="006B729D">
      <w:pPr>
        <w:pStyle w:val="BodyText"/>
        <w:rPr>
          <w:b/>
          <w:i/>
          <w:color w:val="000000"/>
        </w:rPr>
      </w:pPr>
    </w:p>
    <w:p w:rsidR="0099583B" w:rsidRPr="00034754" w:rsidRDefault="0099583B" w:rsidP="006B729D">
      <w:pPr>
        <w:pStyle w:val="BodyText"/>
        <w:rPr>
          <w:b/>
          <w:i/>
          <w:color w:val="000000"/>
        </w:rPr>
      </w:pPr>
    </w:p>
    <w:p w:rsidR="00233137" w:rsidRDefault="00233137" w:rsidP="006B729D">
      <w:pPr>
        <w:pStyle w:val="LegalRefs"/>
        <w:rPr>
          <w:color w:val="000000"/>
        </w:rPr>
      </w:pPr>
    </w:p>
    <w:p w:rsidR="006B729D" w:rsidRPr="00233137" w:rsidRDefault="006B729D" w:rsidP="006B729D">
      <w:pPr>
        <w:pStyle w:val="LegalRefs"/>
        <w:rPr>
          <w:b w:val="0"/>
          <w:i w:val="0"/>
          <w:color w:val="000000"/>
        </w:rPr>
      </w:pPr>
      <w:r w:rsidRPr="00233137">
        <w:rPr>
          <w:b w:val="0"/>
          <w:i w:val="0"/>
          <w:color w:val="000000"/>
        </w:rPr>
        <w:lastRenderedPageBreak/>
        <w:t>Legal References:</w:t>
      </w:r>
    </w:p>
    <w:p w:rsidR="006B729D" w:rsidRPr="00233137" w:rsidRDefault="006B729D">
      <w:pPr>
        <w:rPr>
          <w:sz w:val="24"/>
        </w:rPr>
      </w:pPr>
    </w:p>
    <w:p w:rsidR="00034754" w:rsidRPr="00233137" w:rsidRDefault="00034754" w:rsidP="00034754">
      <w:pPr>
        <w:pStyle w:val="LegalRefs-Indent"/>
        <w:rPr>
          <w:i w:val="0"/>
          <w:color w:val="000000"/>
        </w:rPr>
      </w:pPr>
      <w:r w:rsidRPr="00233137">
        <w:rPr>
          <w:i w:val="0"/>
          <w:color w:val="000000"/>
        </w:rPr>
        <w:t>18 U.S.C. § 921, Et seq., Firearms</w:t>
      </w:r>
    </w:p>
    <w:p w:rsidR="00034754" w:rsidRPr="00233137" w:rsidRDefault="00034754" w:rsidP="00034754">
      <w:pPr>
        <w:pStyle w:val="LegalRefs-Indent"/>
        <w:rPr>
          <w:i w:val="0"/>
          <w:color w:val="000000"/>
        </w:rPr>
      </w:pPr>
      <w:r w:rsidRPr="00233137">
        <w:rPr>
          <w:i w:val="0"/>
          <w:color w:val="000000"/>
        </w:rPr>
        <w:t>20 U.S.C. § 7151, Gun-Free Schools Act</w:t>
      </w:r>
    </w:p>
    <w:p w:rsidR="00034754" w:rsidRPr="00233137" w:rsidRDefault="00034754" w:rsidP="00034754">
      <w:pPr>
        <w:pStyle w:val="LegalRefs-Indent"/>
        <w:rPr>
          <w:i w:val="0"/>
          <w:color w:val="000000"/>
        </w:rPr>
      </w:pPr>
      <w:r w:rsidRPr="00233137">
        <w:rPr>
          <w:i w:val="0"/>
          <w:color w:val="000000"/>
        </w:rPr>
        <w:t>RSA 193:11, Disturbance</w:t>
      </w:r>
    </w:p>
    <w:p w:rsidR="00034754" w:rsidRPr="00233137" w:rsidRDefault="00034754" w:rsidP="00034754">
      <w:pPr>
        <w:pStyle w:val="LegalRefs-Indent"/>
        <w:rPr>
          <w:i w:val="0"/>
          <w:color w:val="000000"/>
        </w:rPr>
      </w:pPr>
      <w:r w:rsidRPr="00233137">
        <w:rPr>
          <w:i w:val="0"/>
          <w:color w:val="000000"/>
        </w:rPr>
        <w:t>RSA 193-D, Safe School Zones</w:t>
      </w:r>
    </w:p>
    <w:p w:rsidR="00034754" w:rsidRPr="00233137" w:rsidRDefault="00034754" w:rsidP="00034754">
      <w:pPr>
        <w:pStyle w:val="LegalRefs-Indent"/>
        <w:rPr>
          <w:i w:val="0"/>
          <w:color w:val="000000"/>
        </w:rPr>
      </w:pPr>
      <w:r w:rsidRPr="00233137">
        <w:rPr>
          <w:i w:val="0"/>
          <w:color w:val="000000"/>
        </w:rPr>
        <w:t>RSA 193:13, Suspension and Expulsion of Students</w:t>
      </w:r>
    </w:p>
    <w:p w:rsidR="00034754" w:rsidRPr="00233137" w:rsidRDefault="00034754" w:rsidP="00034754">
      <w:pPr>
        <w:pStyle w:val="LegalRefs-Indent"/>
        <w:rPr>
          <w:i w:val="0"/>
          <w:color w:val="000000"/>
        </w:rPr>
      </w:pPr>
      <w:r w:rsidRPr="00233137">
        <w:rPr>
          <w:i w:val="0"/>
          <w:color w:val="000000"/>
        </w:rPr>
        <w:t>NH Code of Administrative Rules, Section Ed. 317, Standards and Procedures for Suspension and Expulsion of Pupils Including Procedures Assuring Due Process</w:t>
      </w:r>
    </w:p>
    <w:p w:rsidR="00034754" w:rsidRPr="00233137" w:rsidRDefault="00034754" w:rsidP="00034754">
      <w:pPr>
        <w:pStyle w:val="LegalRefs-Indent"/>
        <w:rPr>
          <w:i w:val="0"/>
          <w:color w:val="000000"/>
        </w:rPr>
      </w:pPr>
      <w:r w:rsidRPr="00233137">
        <w:rPr>
          <w:i w:val="0"/>
          <w:color w:val="000000"/>
        </w:rPr>
        <w:t>Appendix JICD-R</w:t>
      </w:r>
    </w:p>
    <w:p w:rsidR="00034754" w:rsidRPr="00233137" w:rsidRDefault="00034754" w:rsidP="00034754">
      <w:pPr>
        <w:pStyle w:val="LegalRefs-Indent"/>
        <w:rPr>
          <w:i w:val="0"/>
          <w:color w:val="000000"/>
        </w:rPr>
      </w:pPr>
      <w:r w:rsidRPr="00233137">
        <w:rPr>
          <w:i w:val="0"/>
          <w:color w:val="000000"/>
        </w:rPr>
        <w:t>Appendix JICI-R</w:t>
      </w:r>
      <w:r w:rsidRPr="00233137">
        <w:rPr>
          <w:i w:val="0"/>
          <w:color w:val="000000"/>
        </w:rPr>
        <w:br/>
      </w:r>
    </w:p>
    <w:p w:rsidR="006B729D" w:rsidRDefault="006B729D">
      <w:pPr>
        <w:rPr>
          <w:sz w:val="24"/>
        </w:rPr>
      </w:pPr>
    </w:p>
    <w:p w:rsidR="00233137" w:rsidRDefault="00233137">
      <w:pPr>
        <w:rPr>
          <w:sz w:val="24"/>
        </w:rPr>
      </w:pPr>
    </w:p>
    <w:p w:rsidR="006B729D" w:rsidRDefault="006B729D">
      <w:pPr>
        <w:rPr>
          <w:sz w:val="24"/>
        </w:rPr>
      </w:pPr>
    </w:p>
    <w:p w:rsidR="006B729D" w:rsidRDefault="006B729D">
      <w:pPr>
        <w:rPr>
          <w:sz w:val="24"/>
        </w:rPr>
      </w:pPr>
    </w:p>
    <w:p w:rsidR="006B729D" w:rsidRDefault="006B729D">
      <w:pPr>
        <w:rPr>
          <w:sz w:val="24"/>
        </w:rPr>
      </w:pPr>
    </w:p>
    <w:p w:rsidR="006B729D" w:rsidRDefault="006B729D">
      <w:pPr>
        <w:rPr>
          <w:sz w:val="24"/>
        </w:rPr>
      </w:pPr>
      <w:r>
        <w:rPr>
          <w:sz w:val="24"/>
        </w:rPr>
        <w:t>First Reading:</w:t>
      </w:r>
      <w:r>
        <w:rPr>
          <w:sz w:val="24"/>
        </w:rPr>
        <w:tab/>
      </w:r>
      <w:r>
        <w:rPr>
          <w:sz w:val="24"/>
        </w:rPr>
        <w:tab/>
        <w:t>March 23, 1999</w:t>
      </w:r>
    </w:p>
    <w:p w:rsidR="006B729D" w:rsidRDefault="006B729D">
      <w:pPr>
        <w:rPr>
          <w:sz w:val="24"/>
        </w:rPr>
      </w:pPr>
      <w:r>
        <w:rPr>
          <w:sz w:val="24"/>
        </w:rPr>
        <w:t>Second Reading:</w:t>
      </w:r>
      <w:r>
        <w:rPr>
          <w:sz w:val="24"/>
        </w:rPr>
        <w:tab/>
        <w:t>May 25, 1999</w:t>
      </w:r>
    </w:p>
    <w:p w:rsidR="006B729D" w:rsidRDefault="006B729D">
      <w:pPr>
        <w:rPr>
          <w:sz w:val="24"/>
        </w:rPr>
      </w:pPr>
      <w:r>
        <w:rPr>
          <w:sz w:val="24"/>
        </w:rPr>
        <w:t>Adopted:</w:t>
      </w:r>
      <w:r>
        <w:rPr>
          <w:sz w:val="24"/>
        </w:rPr>
        <w:tab/>
      </w:r>
      <w:r>
        <w:rPr>
          <w:sz w:val="24"/>
        </w:rPr>
        <w:tab/>
        <w:t>May 25, 1999</w:t>
      </w:r>
    </w:p>
    <w:p w:rsidR="0099583B" w:rsidRDefault="0099583B">
      <w:pPr>
        <w:rPr>
          <w:sz w:val="24"/>
        </w:rPr>
      </w:pPr>
      <w:r w:rsidRPr="00233137">
        <w:rPr>
          <w:sz w:val="24"/>
        </w:rPr>
        <w:t>First Reading:</w:t>
      </w:r>
      <w:r w:rsidR="00233137" w:rsidRPr="00233137">
        <w:rPr>
          <w:sz w:val="24"/>
        </w:rPr>
        <w:tab/>
      </w:r>
      <w:r w:rsidR="00233137" w:rsidRPr="00233137">
        <w:rPr>
          <w:sz w:val="24"/>
        </w:rPr>
        <w:tab/>
      </w:r>
      <w:r w:rsidRPr="00233137">
        <w:rPr>
          <w:sz w:val="24"/>
        </w:rPr>
        <w:t>January 10, 2013</w:t>
      </w:r>
    </w:p>
    <w:p w:rsidR="00233137" w:rsidRDefault="00233137">
      <w:pPr>
        <w:rPr>
          <w:sz w:val="24"/>
        </w:rPr>
      </w:pPr>
      <w:r>
        <w:rPr>
          <w:sz w:val="24"/>
        </w:rPr>
        <w:t>Second Reading:</w:t>
      </w:r>
      <w:r>
        <w:rPr>
          <w:sz w:val="24"/>
        </w:rPr>
        <w:tab/>
        <w:t>January 24, 2018</w:t>
      </w:r>
    </w:p>
    <w:p w:rsidR="00233137" w:rsidRPr="00233137" w:rsidRDefault="00233137">
      <w:pPr>
        <w:rPr>
          <w:sz w:val="24"/>
        </w:rPr>
      </w:pPr>
      <w:r>
        <w:rPr>
          <w:sz w:val="24"/>
        </w:rPr>
        <w:t>Revised:</w:t>
      </w:r>
      <w:r>
        <w:rPr>
          <w:sz w:val="24"/>
        </w:rPr>
        <w:tab/>
      </w:r>
      <w:r>
        <w:rPr>
          <w:sz w:val="24"/>
        </w:rPr>
        <w:tab/>
        <w:t>January 24, 2018</w:t>
      </w:r>
    </w:p>
    <w:sectPr w:rsidR="00233137" w:rsidRPr="00233137">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29D"/>
    <w:rsid w:val="00034754"/>
    <w:rsid w:val="00233137"/>
    <w:rsid w:val="006B729D"/>
    <w:rsid w:val="009958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customStyle="1" w:styleId="LegalRefs">
    <w:name w:val="Legal Refs"/>
    <w:uiPriority w:val="99"/>
    <w:rsid w:val="006B729D"/>
    <w:pPr>
      <w:widowControl w:val="0"/>
      <w:autoSpaceDE w:val="0"/>
      <w:autoSpaceDN w:val="0"/>
      <w:adjustRightInd w:val="0"/>
    </w:pPr>
    <w:rPr>
      <w:b/>
      <w:bCs/>
      <w:i/>
      <w:iCs/>
      <w:sz w:val="24"/>
      <w:szCs w:val="24"/>
      <w:u w:val="single"/>
    </w:rPr>
  </w:style>
  <w:style w:type="paragraph" w:customStyle="1" w:styleId="LegalRefs-Indent">
    <w:name w:val="Legal Refs-Indent"/>
    <w:uiPriority w:val="99"/>
    <w:rsid w:val="006B729D"/>
    <w:pPr>
      <w:widowControl w:val="0"/>
      <w:autoSpaceDE w:val="0"/>
      <w:autoSpaceDN w:val="0"/>
      <w:adjustRightInd w:val="0"/>
      <w:ind w:left="720"/>
    </w:pPr>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 68</dc:creator>
  <cp:lastModifiedBy>Frances Bean</cp:lastModifiedBy>
  <cp:revision>2</cp:revision>
  <cp:lastPrinted>1999-05-26T14:23:00Z</cp:lastPrinted>
  <dcterms:created xsi:type="dcterms:W3CDTF">2018-01-25T15:55:00Z</dcterms:created>
  <dcterms:modified xsi:type="dcterms:W3CDTF">2018-01-25T15:55:00Z</dcterms:modified>
</cp:coreProperties>
</file>