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  6th </w:t>
        <w:tab/>
        <w:t xml:space="preserve">Week 11: Nov 16-20</w:t>
      </w:r>
    </w:p>
    <w:tbl>
      <w:tblPr>
        <w:tblStyle w:val="Table1"/>
        <w:tblW w:w="15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90"/>
        <w:gridCol w:w="2850"/>
        <w:gridCol w:w="1440"/>
        <w:gridCol w:w="2160"/>
        <w:gridCol w:w="1800"/>
        <w:gridCol w:w="2880"/>
        <w:tblGridChange w:id="0">
          <w:tblGrid>
            <w:gridCol w:w="2160"/>
            <w:gridCol w:w="2190"/>
            <w:gridCol w:w="285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Tuesday, Nov 17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distinguish between transitive and intransitive verbs.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direct objects and indirect objects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SWBAT identify linking verbs and PA or PN.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conjugate irregular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1--Fix-It Passage #18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2-Irregular Verb Notes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 Read the short story “Three Skeleton Key”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Thursday, Nov 19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*All of the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#19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2--Irregular Verb Quiz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3-Finish reading “Three Skeleton Key” and answer questions.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