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84" w:rsidRDefault="00C769BB">
      <w:pPr>
        <w:tabs>
          <w:tab w:val="left" w:pos="-1440"/>
          <w:tab w:val="left" w:pos="-720"/>
          <w:tab w:val="left" w:pos="0"/>
          <w:tab w:val="left" w:pos="498"/>
          <w:tab w:val="left" w:pos="1068"/>
        </w:tabs>
        <w:jc w:val="right"/>
      </w:pPr>
      <w:r>
        <w:rPr>
          <w:b/>
        </w:rPr>
        <w:t>GBK</w:t>
      </w:r>
    </w:p>
    <w:p w:rsidR="00C81284" w:rsidRDefault="00C769BB">
      <w:pPr>
        <w:tabs>
          <w:tab w:val="left" w:pos="-1440"/>
          <w:tab w:val="left" w:pos="-720"/>
          <w:tab w:val="left" w:pos="0"/>
          <w:tab w:val="left" w:pos="498"/>
          <w:tab w:val="left" w:pos="1068"/>
        </w:tabs>
        <w:jc w:val="both"/>
      </w:pPr>
      <w:r>
        <w:t xml:space="preserve"> </w:t>
      </w:r>
    </w:p>
    <w:p w:rsidR="00C81284" w:rsidRDefault="00C81284">
      <w:pPr>
        <w:tabs>
          <w:tab w:val="left" w:pos="-1440"/>
          <w:tab w:val="left" w:pos="-720"/>
          <w:tab w:val="left" w:pos="0"/>
          <w:tab w:val="left" w:pos="498"/>
          <w:tab w:val="left" w:pos="1068"/>
        </w:tabs>
        <w:jc w:val="both"/>
      </w:pPr>
    </w:p>
    <w:p w:rsidR="00C81284" w:rsidRDefault="00C769BB">
      <w:pPr>
        <w:pStyle w:val="Heading1"/>
        <w:tabs>
          <w:tab w:val="left" w:pos="-1440"/>
          <w:tab w:val="left" w:pos="-720"/>
          <w:tab w:val="left" w:pos="0"/>
          <w:tab w:val="left" w:pos="498"/>
          <w:tab w:val="left" w:pos="1068"/>
        </w:tabs>
      </w:pPr>
      <w:r>
        <w:t>STAFF COMPLAINTS AND GRIEVANCES</w:t>
      </w:r>
    </w:p>
    <w:p w:rsidR="00C81284" w:rsidRDefault="00C769BB">
      <w:pPr>
        <w:tabs>
          <w:tab w:val="left" w:pos="-1440"/>
          <w:tab w:val="left" w:pos="-720"/>
          <w:tab w:val="left" w:pos="0"/>
          <w:tab w:val="left" w:pos="498"/>
          <w:tab w:val="left" w:pos="1068"/>
        </w:tabs>
        <w:jc w:val="both"/>
      </w:pPr>
      <w:r>
        <w:t xml:space="preserve"> </w:t>
      </w:r>
    </w:p>
    <w:p w:rsidR="00C81284" w:rsidRDefault="00C769BB">
      <w:pPr>
        <w:tabs>
          <w:tab w:val="left" w:pos="-1440"/>
          <w:tab w:val="left" w:pos="-720"/>
          <w:tab w:val="left" w:pos="0"/>
          <w:tab w:val="left" w:pos="498"/>
          <w:tab w:val="left" w:pos="1068"/>
        </w:tabs>
        <w:jc w:val="both"/>
      </w:pPr>
      <w:r>
        <w:t xml:space="preserve"> </w:t>
      </w:r>
    </w:p>
    <w:p w:rsidR="00C769BB" w:rsidRPr="0045493B" w:rsidRDefault="00C769BB" w:rsidP="00C769BB">
      <w:pPr>
        <w:pStyle w:val="BodyText"/>
        <w:rPr>
          <w:color w:val="000000"/>
        </w:rPr>
      </w:pPr>
      <w:r w:rsidRPr="0045493B">
        <w:t xml:space="preserve"> </w:t>
      </w:r>
      <w:r w:rsidRPr="0045493B">
        <w:rPr>
          <w:color w:val="000000"/>
        </w:rPr>
        <w:t>In order to promote efficiency in the administration of schools and to avoid misunderstandings and misinterpretations, all personnel must observe a chain of command when bringing staff concerns or complaints to the administration's attention.</w:t>
      </w:r>
    </w:p>
    <w:p w:rsidR="00C769BB" w:rsidRPr="0045493B" w:rsidRDefault="00C769BB" w:rsidP="00C769BB">
      <w:pPr>
        <w:pStyle w:val="BodyText"/>
        <w:rPr>
          <w:color w:val="000000"/>
        </w:rPr>
      </w:pPr>
      <w:r w:rsidRPr="0045493B">
        <w:rPr>
          <w:color w:val="000000"/>
        </w:rPr>
        <w:t>In order to promote such efficiency, the following guidelines should be followed:</w:t>
      </w:r>
    </w:p>
    <w:p w:rsidR="00C769BB" w:rsidRPr="0045493B" w:rsidRDefault="00C769BB" w:rsidP="00C769BB">
      <w:pPr>
        <w:pStyle w:val="1indent"/>
        <w:rPr>
          <w:color w:val="000000"/>
        </w:rPr>
      </w:pPr>
      <w:r w:rsidRPr="0045493B">
        <w:rPr>
          <w:color w:val="000000"/>
        </w:rPr>
        <w:t>1.  All personnel employed by the Board shall be responsible to the Board through the Superintendent and no dispute or other personnel issue shall be brought to the Board without first having gone to the Superintendent for determination.</w:t>
      </w:r>
    </w:p>
    <w:p w:rsidR="00C769BB" w:rsidRPr="0045493B" w:rsidRDefault="00C769BB" w:rsidP="00C769BB">
      <w:pPr>
        <w:pStyle w:val="1indent"/>
        <w:rPr>
          <w:color w:val="000000"/>
        </w:rPr>
      </w:pPr>
      <w:r w:rsidRPr="0045493B">
        <w:rPr>
          <w:color w:val="000000"/>
        </w:rPr>
        <w:t>2.  Likewise, no dispute or other personnel issue shall be brought to the Superintendent without first having been presented to the building Principal for determination.</w:t>
      </w:r>
    </w:p>
    <w:p w:rsidR="00C769BB" w:rsidRPr="0045493B" w:rsidRDefault="00C769BB" w:rsidP="00C769BB">
      <w:pPr>
        <w:pStyle w:val="1indent"/>
        <w:rPr>
          <w:color w:val="000000"/>
        </w:rPr>
      </w:pPr>
      <w:r w:rsidRPr="0045493B">
        <w:rPr>
          <w:color w:val="000000"/>
        </w:rPr>
        <w:t>3.  Building personnel working under the immediate direction and/or supervision of someone other than the building Principal will inform their immediate superior of any dispute or personnel issue s/he intends to bring to the principal.</w:t>
      </w:r>
    </w:p>
    <w:p w:rsidR="00C769BB" w:rsidRPr="0045493B" w:rsidRDefault="00C769BB" w:rsidP="00C769BB">
      <w:pPr>
        <w:pStyle w:val="BodyText"/>
        <w:rPr>
          <w:color w:val="000000"/>
        </w:rPr>
      </w:pPr>
      <w:r w:rsidRPr="0045493B">
        <w:rPr>
          <w:color w:val="000000"/>
        </w:rPr>
        <w:t xml:space="preserve">It is the Board's policy not to involve itself in personnel complaints or dispute until the matter has properly followed these guidelines. </w:t>
      </w:r>
    </w:p>
    <w:p w:rsidR="00C769BB" w:rsidRPr="0045493B" w:rsidRDefault="00C769BB" w:rsidP="00C769BB">
      <w:pPr>
        <w:pStyle w:val="BodyText"/>
        <w:rPr>
          <w:color w:val="000000"/>
        </w:rPr>
      </w:pPr>
      <w:r w:rsidRPr="0045493B">
        <w:rPr>
          <w:color w:val="000000"/>
        </w:rPr>
        <w:t>The machinery set up for the resolution of "grievances" in collective bargaining agreements between the Board and recognized employee organizations will apply only to grievances as defined in the particular agreement.</w:t>
      </w:r>
    </w:p>
    <w:p w:rsidR="00C81284" w:rsidRDefault="00C769BB" w:rsidP="00C769BB">
      <w:pPr>
        <w:tabs>
          <w:tab w:val="left" w:pos="-1440"/>
          <w:tab w:val="left" w:pos="-720"/>
          <w:tab w:val="left" w:pos="0"/>
          <w:tab w:val="left" w:pos="498"/>
          <w:tab w:val="left" w:pos="1068"/>
        </w:tabs>
        <w:rPr>
          <w:b/>
          <w:i/>
        </w:rPr>
      </w:pPr>
      <w:r w:rsidRPr="0045493B">
        <w:rPr>
          <w:color w:val="000000"/>
        </w:rPr>
        <w:t>Appendix: GBK-R</w:t>
      </w:r>
      <w:r w:rsidRPr="0045493B">
        <w:rPr>
          <w:color w:val="000000"/>
        </w:rPr>
        <w:br/>
      </w:r>
      <w:r w:rsidRPr="00C769BB">
        <w:rPr>
          <w:b/>
          <w:i/>
        </w:rPr>
        <w:t xml:space="preserve"> </w:t>
      </w:r>
    </w:p>
    <w:p w:rsidR="0045493B" w:rsidRPr="00C769BB" w:rsidRDefault="0045493B" w:rsidP="00C769BB">
      <w:pPr>
        <w:tabs>
          <w:tab w:val="left" w:pos="-1440"/>
          <w:tab w:val="left" w:pos="-720"/>
          <w:tab w:val="left" w:pos="0"/>
          <w:tab w:val="left" w:pos="498"/>
          <w:tab w:val="left" w:pos="1068"/>
        </w:tabs>
        <w:rPr>
          <w:b/>
          <w:i/>
        </w:rPr>
      </w:pPr>
    </w:p>
    <w:p w:rsidR="00C81284" w:rsidRDefault="00C769BB">
      <w:pPr>
        <w:tabs>
          <w:tab w:val="left" w:pos="-1440"/>
          <w:tab w:val="left" w:pos="-720"/>
          <w:tab w:val="left" w:pos="0"/>
          <w:tab w:val="left" w:pos="498"/>
          <w:tab w:val="left" w:pos="1068"/>
        </w:tabs>
        <w:jc w:val="both"/>
      </w:pPr>
      <w:r>
        <w:t xml:space="preserve"> First Reading:</w:t>
      </w:r>
      <w:r>
        <w:tab/>
      </w:r>
      <w:r>
        <w:tab/>
        <w:t>February 19, 2002</w:t>
      </w:r>
    </w:p>
    <w:p w:rsidR="00C81284" w:rsidRDefault="00C769BB">
      <w:pPr>
        <w:tabs>
          <w:tab w:val="left" w:pos="-1440"/>
          <w:tab w:val="left" w:pos="-720"/>
          <w:tab w:val="left" w:pos="0"/>
          <w:tab w:val="left" w:pos="498"/>
          <w:tab w:val="left" w:pos="1068"/>
        </w:tabs>
        <w:jc w:val="both"/>
      </w:pPr>
      <w:r>
        <w:t>Second Reading:</w:t>
      </w:r>
      <w:r>
        <w:tab/>
        <w:t>March 5, 2002</w:t>
      </w:r>
    </w:p>
    <w:p w:rsidR="00C81284" w:rsidRDefault="00C769BB">
      <w:pPr>
        <w:tabs>
          <w:tab w:val="left" w:pos="-1440"/>
          <w:tab w:val="left" w:pos="-720"/>
          <w:tab w:val="left" w:pos="0"/>
          <w:tab w:val="left" w:pos="498"/>
          <w:tab w:val="left" w:pos="1068"/>
        </w:tabs>
        <w:jc w:val="both"/>
      </w:pPr>
      <w:r>
        <w:t>Adopted:</w:t>
      </w:r>
      <w:r>
        <w:tab/>
        <w:t xml:space="preserve"> </w:t>
      </w:r>
      <w:r>
        <w:tab/>
      </w:r>
      <w:r>
        <w:tab/>
        <w:t>March 5, 2002</w:t>
      </w:r>
    </w:p>
    <w:p w:rsidR="00C769BB" w:rsidRPr="00C30007" w:rsidRDefault="00C769BB">
      <w:pPr>
        <w:tabs>
          <w:tab w:val="left" w:pos="-1440"/>
          <w:tab w:val="left" w:pos="-720"/>
          <w:tab w:val="left" w:pos="0"/>
          <w:tab w:val="left" w:pos="498"/>
          <w:tab w:val="left" w:pos="1068"/>
        </w:tabs>
        <w:jc w:val="both"/>
      </w:pPr>
      <w:r w:rsidRPr="00C30007">
        <w:t>First Reading:</w:t>
      </w:r>
      <w:r w:rsidRPr="00C30007">
        <w:tab/>
      </w:r>
      <w:r w:rsidR="00C30007">
        <w:tab/>
      </w:r>
      <w:r w:rsidRPr="00C30007">
        <w:t>September 28, 2016</w:t>
      </w:r>
    </w:p>
    <w:p w:rsidR="0045493B" w:rsidRPr="00C30007" w:rsidRDefault="0045493B">
      <w:pPr>
        <w:tabs>
          <w:tab w:val="left" w:pos="-1440"/>
          <w:tab w:val="left" w:pos="-720"/>
          <w:tab w:val="left" w:pos="0"/>
          <w:tab w:val="left" w:pos="498"/>
          <w:tab w:val="left" w:pos="1068"/>
        </w:tabs>
        <w:jc w:val="both"/>
      </w:pPr>
      <w:r w:rsidRPr="00C30007">
        <w:t>Second Reading:</w:t>
      </w:r>
      <w:r w:rsidRPr="00C30007">
        <w:tab/>
        <w:t>October 12, 2016</w:t>
      </w:r>
    </w:p>
    <w:p w:rsidR="00C30007" w:rsidRPr="00C30007" w:rsidRDefault="00C30007">
      <w:pPr>
        <w:tabs>
          <w:tab w:val="left" w:pos="-1440"/>
          <w:tab w:val="left" w:pos="-720"/>
          <w:tab w:val="left" w:pos="0"/>
          <w:tab w:val="left" w:pos="498"/>
          <w:tab w:val="left" w:pos="1068"/>
        </w:tabs>
        <w:jc w:val="both"/>
      </w:pPr>
      <w:r w:rsidRPr="00C30007">
        <w:t>Revised:</w:t>
      </w:r>
      <w:r w:rsidRPr="00C30007">
        <w:tab/>
      </w:r>
      <w:r w:rsidRPr="00C30007">
        <w:tab/>
      </w:r>
      <w:r w:rsidRPr="00C30007">
        <w:tab/>
        <w:t>October 12, 2016</w:t>
      </w:r>
    </w:p>
    <w:sectPr w:rsidR="00C30007" w:rsidRPr="00C30007" w:rsidSect="00C81284">
      <w:pgSz w:w="12240" w:h="15840"/>
      <w:pgMar w:top="1296" w:right="1296" w:bottom="1152" w:left="129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rsids>
    <w:rsidRoot w:val="00C769BB"/>
    <w:rsid w:val="0045493B"/>
    <w:rsid w:val="00C30007"/>
    <w:rsid w:val="00C769BB"/>
    <w:rsid w:val="00C81284"/>
    <w:rsid w:val="00F90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84"/>
    <w:rPr>
      <w:sz w:val="24"/>
    </w:rPr>
  </w:style>
  <w:style w:type="paragraph" w:styleId="Heading1">
    <w:name w:val="heading 1"/>
    <w:basedOn w:val="Normal"/>
    <w:next w:val="Normal"/>
    <w:qFormat/>
    <w:rsid w:val="00C81284"/>
    <w:pPr>
      <w:keepNext/>
      <w:widowControl w:val="0"/>
      <w:jc w:val="center"/>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indent">
    <w:name w:val="1indent"/>
    <w:uiPriority w:val="99"/>
    <w:rsid w:val="00C769BB"/>
    <w:pPr>
      <w:widowControl w:val="0"/>
      <w:autoSpaceDE w:val="0"/>
      <w:autoSpaceDN w:val="0"/>
      <w:adjustRightInd w:val="0"/>
      <w:spacing w:after="144"/>
      <w:ind w:left="720"/>
    </w:pPr>
    <w:rPr>
      <w:rFonts w:eastAsiaTheme="minorEastAsia"/>
      <w:sz w:val="24"/>
      <w:szCs w:val="24"/>
    </w:rPr>
  </w:style>
  <w:style w:type="paragraph" w:styleId="BodyText">
    <w:name w:val="Body Text"/>
    <w:basedOn w:val="Normal"/>
    <w:link w:val="BodyTextChar"/>
    <w:uiPriority w:val="99"/>
    <w:rsid w:val="00C769BB"/>
    <w:pPr>
      <w:widowControl w:val="0"/>
      <w:autoSpaceDE w:val="0"/>
      <w:autoSpaceDN w:val="0"/>
      <w:adjustRightInd w:val="0"/>
      <w:spacing w:after="144"/>
    </w:pPr>
    <w:rPr>
      <w:rFonts w:eastAsiaTheme="minorEastAsia"/>
      <w:szCs w:val="24"/>
    </w:rPr>
  </w:style>
  <w:style w:type="character" w:customStyle="1" w:styleId="BodyTextChar">
    <w:name w:val="Body Text Char"/>
    <w:basedOn w:val="DefaultParagraphFont"/>
    <w:link w:val="BodyText"/>
    <w:uiPriority w:val="99"/>
    <w:rsid w:val="00C769BB"/>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GBK </vt:lpstr>
    </vt:vector>
  </TitlesOfParts>
  <Company>SAU 68</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GBK</dc:title>
  <dc:creator>Lin-Wood</dc:creator>
  <cp:lastModifiedBy>JOsgood</cp:lastModifiedBy>
  <cp:revision>2</cp:revision>
  <cp:lastPrinted>2016-10-14T17:09:00Z</cp:lastPrinted>
  <dcterms:created xsi:type="dcterms:W3CDTF">2016-10-14T17:09:00Z</dcterms:created>
  <dcterms:modified xsi:type="dcterms:W3CDTF">2016-10-14T17:09:00Z</dcterms:modified>
</cp:coreProperties>
</file>