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522" w:type="dxa"/>
        <w:tblLayout w:type="fixed"/>
        <w:tblLook w:val="04A0" w:firstRow="1" w:lastRow="0" w:firstColumn="1" w:lastColumn="0" w:noHBand="0" w:noVBand="1"/>
      </w:tblPr>
      <w:tblGrid>
        <w:gridCol w:w="1980"/>
        <w:gridCol w:w="1620"/>
        <w:gridCol w:w="1530"/>
        <w:gridCol w:w="2070"/>
        <w:gridCol w:w="1080"/>
        <w:gridCol w:w="3060"/>
      </w:tblGrid>
      <w:tr w:rsidR="00770B0F" w14:paraId="70D69C91" w14:textId="77777777" w:rsidTr="00EF3002">
        <w:tc>
          <w:tcPr>
            <w:tcW w:w="11340" w:type="dxa"/>
            <w:gridSpan w:val="6"/>
            <w:shd w:val="clear" w:color="auto" w:fill="95B3D7" w:themeFill="accent1" w:themeFillTint="99"/>
          </w:tcPr>
          <w:p w14:paraId="0F14CF8B" w14:textId="77777777" w:rsidR="00770B0F" w:rsidRPr="00770B0F" w:rsidRDefault="00770B0F" w:rsidP="00770B0F">
            <w:pPr>
              <w:jc w:val="center"/>
              <w:rPr>
                <w:sz w:val="40"/>
                <w:szCs w:val="40"/>
              </w:rPr>
            </w:pPr>
            <w:r w:rsidRPr="00770B0F">
              <w:rPr>
                <w:sz w:val="40"/>
                <w:szCs w:val="40"/>
              </w:rPr>
              <w:t>Bledsoe County Schools Testing Schedule</w:t>
            </w:r>
          </w:p>
          <w:p w14:paraId="7F47640F" w14:textId="2C6AB74D" w:rsidR="00770B0F" w:rsidRPr="00770B0F" w:rsidRDefault="00770B0F" w:rsidP="00770B0F">
            <w:pPr>
              <w:jc w:val="center"/>
              <w:rPr>
                <w:b/>
                <w:sz w:val="40"/>
                <w:szCs w:val="40"/>
              </w:rPr>
            </w:pPr>
          </w:p>
        </w:tc>
      </w:tr>
      <w:tr w:rsidR="00DD6734" w14:paraId="16A65BF0" w14:textId="77777777" w:rsidTr="00EF3002">
        <w:tc>
          <w:tcPr>
            <w:tcW w:w="1980" w:type="dxa"/>
            <w:shd w:val="clear" w:color="auto" w:fill="95B3D7" w:themeFill="accent1" w:themeFillTint="99"/>
          </w:tcPr>
          <w:p w14:paraId="12B627F5" w14:textId="77777777" w:rsidR="00E25E8B" w:rsidRPr="00DD6734" w:rsidRDefault="00E25E8B">
            <w:pPr>
              <w:rPr>
                <w:b/>
              </w:rPr>
            </w:pPr>
            <w:r w:rsidRPr="00DD6734">
              <w:rPr>
                <w:b/>
              </w:rPr>
              <w:t>Assessment</w:t>
            </w:r>
          </w:p>
        </w:tc>
        <w:tc>
          <w:tcPr>
            <w:tcW w:w="1620" w:type="dxa"/>
            <w:shd w:val="clear" w:color="auto" w:fill="95B3D7" w:themeFill="accent1" w:themeFillTint="99"/>
          </w:tcPr>
          <w:p w14:paraId="71279999" w14:textId="77777777" w:rsidR="00E25E8B" w:rsidRPr="00DD6734" w:rsidRDefault="00E25E8B">
            <w:pPr>
              <w:rPr>
                <w:b/>
              </w:rPr>
            </w:pPr>
            <w:r w:rsidRPr="00DD6734">
              <w:rPr>
                <w:b/>
              </w:rPr>
              <w:t>Grade/Class</w:t>
            </w:r>
          </w:p>
        </w:tc>
        <w:tc>
          <w:tcPr>
            <w:tcW w:w="1530" w:type="dxa"/>
            <w:shd w:val="clear" w:color="auto" w:fill="95B3D7" w:themeFill="accent1" w:themeFillTint="99"/>
          </w:tcPr>
          <w:p w14:paraId="173C7A3F" w14:textId="77777777" w:rsidR="00E25E8B" w:rsidRPr="00DD6734" w:rsidRDefault="00E25E8B">
            <w:pPr>
              <w:rPr>
                <w:b/>
              </w:rPr>
            </w:pPr>
            <w:r w:rsidRPr="00DD6734">
              <w:rPr>
                <w:b/>
              </w:rPr>
              <w:t>Tentative Dates</w:t>
            </w:r>
          </w:p>
        </w:tc>
        <w:tc>
          <w:tcPr>
            <w:tcW w:w="2070" w:type="dxa"/>
            <w:shd w:val="clear" w:color="auto" w:fill="95B3D7" w:themeFill="accent1" w:themeFillTint="99"/>
          </w:tcPr>
          <w:p w14:paraId="062A7983" w14:textId="77777777" w:rsidR="00E25E8B" w:rsidRPr="00DD6734" w:rsidRDefault="00E25E8B">
            <w:pPr>
              <w:rPr>
                <w:b/>
              </w:rPr>
            </w:pPr>
            <w:r w:rsidRPr="00DD6734">
              <w:rPr>
                <w:b/>
              </w:rPr>
              <w:t>Purpose &amp; Use</w:t>
            </w:r>
          </w:p>
        </w:tc>
        <w:tc>
          <w:tcPr>
            <w:tcW w:w="1080" w:type="dxa"/>
            <w:shd w:val="clear" w:color="auto" w:fill="95B3D7" w:themeFill="accent1" w:themeFillTint="99"/>
          </w:tcPr>
          <w:p w14:paraId="26845A07" w14:textId="77777777" w:rsidR="00E25E8B" w:rsidRPr="00DD6734" w:rsidRDefault="00E25E8B">
            <w:pPr>
              <w:rPr>
                <w:b/>
              </w:rPr>
            </w:pPr>
            <w:r w:rsidRPr="00DD6734">
              <w:rPr>
                <w:b/>
              </w:rPr>
              <w:t>Required by …</w:t>
            </w:r>
          </w:p>
        </w:tc>
        <w:tc>
          <w:tcPr>
            <w:tcW w:w="3060" w:type="dxa"/>
            <w:shd w:val="clear" w:color="auto" w:fill="95B3D7" w:themeFill="accent1" w:themeFillTint="99"/>
          </w:tcPr>
          <w:p w14:paraId="3E7E844D" w14:textId="77777777" w:rsidR="00E25E8B" w:rsidRPr="00DD6734" w:rsidRDefault="00E25E8B">
            <w:pPr>
              <w:rPr>
                <w:b/>
              </w:rPr>
            </w:pPr>
            <w:r w:rsidRPr="00DD6734">
              <w:rPr>
                <w:b/>
              </w:rPr>
              <w:t>Student/Parent Reports</w:t>
            </w:r>
          </w:p>
        </w:tc>
      </w:tr>
      <w:tr w:rsidR="00DD6734" w14:paraId="461E3A55" w14:textId="77777777" w:rsidTr="00EF3002">
        <w:tc>
          <w:tcPr>
            <w:tcW w:w="1980" w:type="dxa"/>
            <w:shd w:val="clear" w:color="auto" w:fill="DBE5F1" w:themeFill="accent1" w:themeFillTint="33"/>
          </w:tcPr>
          <w:p w14:paraId="2CCDB36B" w14:textId="77777777" w:rsidR="00E25E8B" w:rsidRPr="00770B0F" w:rsidRDefault="00F879BF">
            <w:pPr>
              <w:rPr>
                <w:sz w:val="20"/>
                <w:szCs w:val="20"/>
              </w:rPr>
            </w:pPr>
            <w:r w:rsidRPr="00770B0F">
              <w:rPr>
                <w:sz w:val="20"/>
                <w:szCs w:val="20"/>
              </w:rPr>
              <w:t xml:space="preserve">Grade 2 </w:t>
            </w:r>
          </w:p>
          <w:p w14:paraId="6A68E643" w14:textId="77777777" w:rsidR="00F879BF" w:rsidRPr="00770B0F" w:rsidRDefault="00F879BF">
            <w:pPr>
              <w:rPr>
                <w:sz w:val="20"/>
                <w:szCs w:val="20"/>
              </w:rPr>
            </w:pPr>
            <w:r w:rsidRPr="00770B0F">
              <w:rPr>
                <w:sz w:val="20"/>
                <w:szCs w:val="20"/>
              </w:rPr>
              <w:t xml:space="preserve">Assessment </w:t>
            </w:r>
          </w:p>
          <w:p w14:paraId="555682BD" w14:textId="77777777" w:rsidR="00F879BF" w:rsidRPr="00770B0F" w:rsidRDefault="00F879BF">
            <w:pPr>
              <w:rPr>
                <w:sz w:val="20"/>
                <w:szCs w:val="20"/>
              </w:rPr>
            </w:pPr>
          </w:p>
          <w:p w14:paraId="72E263CD" w14:textId="77777777" w:rsidR="00F879BF" w:rsidRPr="00770B0F" w:rsidRDefault="00F879BF">
            <w:pPr>
              <w:rPr>
                <w:sz w:val="20"/>
                <w:szCs w:val="20"/>
              </w:rPr>
            </w:pPr>
          </w:p>
        </w:tc>
        <w:tc>
          <w:tcPr>
            <w:tcW w:w="1620" w:type="dxa"/>
            <w:shd w:val="clear" w:color="auto" w:fill="DBE5F1" w:themeFill="accent1" w:themeFillTint="33"/>
          </w:tcPr>
          <w:p w14:paraId="721B92D3" w14:textId="77777777" w:rsidR="00E25E8B" w:rsidRPr="00770B0F" w:rsidRDefault="00F879BF">
            <w:pPr>
              <w:rPr>
                <w:sz w:val="20"/>
                <w:szCs w:val="20"/>
              </w:rPr>
            </w:pPr>
            <w:r w:rsidRPr="00770B0F">
              <w:rPr>
                <w:sz w:val="20"/>
                <w:szCs w:val="20"/>
              </w:rPr>
              <w:t>All 2</w:t>
            </w:r>
            <w:r w:rsidRPr="00770B0F">
              <w:rPr>
                <w:sz w:val="20"/>
                <w:szCs w:val="20"/>
                <w:vertAlign w:val="superscript"/>
              </w:rPr>
              <w:t>nd</w:t>
            </w:r>
            <w:r w:rsidRPr="00770B0F">
              <w:rPr>
                <w:sz w:val="20"/>
                <w:szCs w:val="20"/>
              </w:rPr>
              <w:t xml:space="preserve"> Grade Students</w:t>
            </w:r>
          </w:p>
        </w:tc>
        <w:tc>
          <w:tcPr>
            <w:tcW w:w="1530" w:type="dxa"/>
            <w:shd w:val="clear" w:color="auto" w:fill="DBE5F1" w:themeFill="accent1" w:themeFillTint="33"/>
          </w:tcPr>
          <w:p w14:paraId="26DCA376" w14:textId="561DD15C" w:rsidR="00E25E8B" w:rsidRPr="00770B0F" w:rsidRDefault="00615E1E">
            <w:pPr>
              <w:rPr>
                <w:sz w:val="20"/>
                <w:szCs w:val="20"/>
              </w:rPr>
            </w:pPr>
            <w:r>
              <w:rPr>
                <w:sz w:val="20"/>
                <w:szCs w:val="20"/>
              </w:rPr>
              <w:t xml:space="preserve">April </w:t>
            </w:r>
            <w:r w:rsidR="00282B5E">
              <w:rPr>
                <w:sz w:val="20"/>
                <w:szCs w:val="20"/>
              </w:rPr>
              <w:t>1</w:t>
            </w:r>
            <w:r w:rsidR="00EC1830">
              <w:rPr>
                <w:sz w:val="20"/>
                <w:szCs w:val="20"/>
              </w:rPr>
              <w:t>8</w:t>
            </w:r>
            <w:r w:rsidR="00E83D3B" w:rsidRPr="00770B0F">
              <w:rPr>
                <w:sz w:val="20"/>
                <w:szCs w:val="20"/>
              </w:rPr>
              <w:t xml:space="preserve"> – May </w:t>
            </w:r>
            <w:r w:rsidR="00C96F75">
              <w:rPr>
                <w:sz w:val="20"/>
                <w:szCs w:val="20"/>
              </w:rPr>
              <w:t>6</w:t>
            </w:r>
          </w:p>
        </w:tc>
        <w:tc>
          <w:tcPr>
            <w:tcW w:w="2070" w:type="dxa"/>
            <w:shd w:val="clear" w:color="auto" w:fill="DBE5F1" w:themeFill="accent1" w:themeFillTint="33"/>
          </w:tcPr>
          <w:p w14:paraId="7977B49D" w14:textId="64055560" w:rsidR="00E25E8B" w:rsidRPr="00770B0F" w:rsidRDefault="00F879BF">
            <w:pPr>
              <w:rPr>
                <w:rFonts w:eastAsia="Times New Roman" w:cs="Times New Roman"/>
                <w:sz w:val="20"/>
                <w:szCs w:val="20"/>
              </w:rPr>
            </w:pPr>
            <w:r w:rsidRPr="00770B0F">
              <w:rPr>
                <w:rFonts w:eastAsia="Times New Roman" w:cs="Times New Roman"/>
                <w:sz w:val="20"/>
                <w:szCs w:val="20"/>
              </w:rPr>
              <w:t>This test is given to help measure how much a second</w:t>
            </w:r>
            <w:r w:rsidR="00EF3002">
              <w:rPr>
                <w:rFonts w:eastAsia="Times New Roman" w:cs="Times New Roman"/>
                <w:sz w:val="20"/>
                <w:szCs w:val="20"/>
              </w:rPr>
              <w:t>-</w:t>
            </w:r>
            <w:r w:rsidRPr="00770B0F">
              <w:rPr>
                <w:rFonts w:eastAsia="Times New Roman" w:cs="Times New Roman"/>
                <w:sz w:val="20"/>
                <w:szCs w:val="20"/>
              </w:rPr>
              <w:t>grade student grows academically over the course of a school year</w:t>
            </w:r>
          </w:p>
          <w:p w14:paraId="0058E792" w14:textId="77777777" w:rsidR="00F879BF" w:rsidRPr="00770B0F" w:rsidRDefault="00F879BF">
            <w:pPr>
              <w:rPr>
                <w:rFonts w:eastAsia="Times New Roman" w:cs="Times New Roman"/>
                <w:sz w:val="20"/>
                <w:szCs w:val="20"/>
              </w:rPr>
            </w:pPr>
          </w:p>
          <w:p w14:paraId="6DB87B51" w14:textId="3ED4B6AC" w:rsidR="00F879BF" w:rsidRPr="00770B0F" w:rsidRDefault="00F879BF">
            <w:pPr>
              <w:rPr>
                <w:sz w:val="20"/>
                <w:szCs w:val="20"/>
              </w:rPr>
            </w:pPr>
          </w:p>
        </w:tc>
        <w:tc>
          <w:tcPr>
            <w:tcW w:w="1080" w:type="dxa"/>
            <w:shd w:val="clear" w:color="auto" w:fill="DBE5F1" w:themeFill="accent1" w:themeFillTint="33"/>
          </w:tcPr>
          <w:p w14:paraId="595FC3DE" w14:textId="77777777" w:rsidR="00E25E8B" w:rsidRPr="00770B0F" w:rsidRDefault="00F879BF">
            <w:pPr>
              <w:rPr>
                <w:sz w:val="20"/>
                <w:szCs w:val="20"/>
              </w:rPr>
            </w:pPr>
            <w:r w:rsidRPr="00770B0F">
              <w:rPr>
                <w:sz w:val="20"/>
                <w:szCs w:val="20"/>
              </w:rPr>
              <w:t>State – This assessment is an optional state assessment</w:t>
            </w:r>
          </w:p>
        </w:tc>
        <w:tc>
          <w:tcPr>
            <w:tcW w:w="3060" w:type="dxa"/>
            <w:shd w:val="clear" w:color="auto" w:fill="DBE5F1" w:themeFill="accent1" w:themeFillTint="33"/>
          </w:tcPr>
          <w:p w14:paraId="49EA0406" w14:textId="6E4AABD2" w:rsidR="00F879BF" w:rsidRPr="00770B0F" w:rsidRDefault="00615E1E" w:rsidP="00F879BF">
            <w:pPr>
              <w:pStyle w:val="NormalWeb"/>
              <w:rPr>
                <w:rFonts w:asciiTheme="minorHAnsi" w:hAnsiTheme="minorHAnsi"/>
              </w:rPr>
            </w:pPr>
            <w:r>
              <w:rPr>
                <w:rFonts w:asciiTheme="minorHAnsi" w:hAnsiTheme="minorHAnsi"/>
              </w:rPr>
              <w:t>T</w:t>
            </w:r>
            <w:r w:rsidR="00F879BF" w:rsidRPr="00770B0F">
              <w:rPr>
                <w:rFonts w:asciiTheme="minorHAnsi" w:hAnsiTheme="minorHAnsi"/>
              </w:rPr>
              <w:t>he department will publish results for grade 2</w:t>
            </w:r>
            <w:r>
              <w:rPr>
                <w:rFonts w:asciiTheme="minorHAnsi" w:hAnsiTheme="minorHAnsi"/>
              </w:rPr>
              <w:t xml:space="preserve"> in July</w:t>
            </w:r>
            <w:r w:rsidR="00F879BF" w:rsidRPr="00770B0F">
              <w:rPr>
                <w:rFonts w:asciiTheme="minorHAnsi" w:hAnsiTheme="minorHAnsi"/>
              </w:rPr>
              <w:t>.</w:t>
            </w:r>
            <w:r>
              <w:rPr>
                <w:rFonts w:asciiTheme="minorHAnsi" w:hAnsiTheme="minorHAnsi"/>
              </w:rPr>
              <w:t xml:space="preserve"> </w:t>
            </w:r>
          </w:p>
          <w:p w14:paraId="11564310" w14:textId="18FDDC94" w:rsidR="00EF3002" w:rsidRDefault="00F879BF" w:rsidP="00050AB8">
            <w:pPr>
              <w:pStyle w:val="NormalWeb"/>
              <w:rPr>
                <w:rFonts w:asciiTheme="minorHAnsi" w:hAnsiTheme="minorHAnsi"/>
              </w:rPr>
            </w:pPr>
            <w:r w:rsidRPr="00770B0F">
              <w:rPr>
                <w:rFonts w:asciiTheme="minorHAnsi" w:hAnsiTheme="minorHAnsi"/>
              </w:rPr>
              <w:t>Districts receive individual performance reports which summarize student performance in more detail. Districts can choose how and when to s</w:t>
            </w:r>
            <w:r w:rsidR="00050AB8" w:rsidRPr="00770B0F">
              <w:rPr>
                <w:rFonts w:asciiTheme="minorHAnsi" w:hAnsiTheme="minorHAnsi"/>
              </w:rPr>
              <w:t>hare these reports with parents.</w:t>
            </w:r>
          </w:p>
          <w:p w14:paraId="5E03E2AB" w14:textId="77777777" w:rsidR="004B7920" w:rsidRDefault="004B7920" w:rsidP="00050AB8">
            <w:pPr>
              <w:pStyle w:val="NormalWeb"/>
              <w:rPr>
                <w:rFonts w:asciiTheme="minorHAnsi" w:hAnsiTheme="minorHAnsi"/>
              </w:rPr>
            </w:pPr>
          </w:p>
          <w:p w14:paraId="41647661" w14:textId="57EF45D1" w:rsidR="00EF3002" w:rsidRPr="00770B0F" w:rsidRDefault="00EF3002" w:rsidP="00050AB8">
            <w:pPr>
              <w:pStyle w:val="NormalWeb"/>
              <w:rPr>
                <w:rFonts w:asciiTheme="minorHAnsi" w:hAnsiTheme="minorHAnsi"/>
              </w:rPr>
            </w:pPr>
          </w:p>
        </w:tc>
      </w:tr>
      <w:tr w:rsidR="00DD6734" w14:paraId="4D2D3EA8" w14:textId="77777777" w:rsidTr="00EF3002">
        <w:tc>
          <w:tcPr>
            <w:tcW w:w="1980" w:type="dxa"/>
            <w:shd w:val="clear" w:color="auto" w:fill="95B3D7" w:themeFill="accent1" w:themeFillTint="99"/>
          </w:tcPr>
          <w:p w14:paraId="10B0B994" w14:textId="77777777" w:rsidR="00E25E8B" w:rsidRPr="00770B0F" w:rsidRDefault="00050AB8">
            <w:pPr>
              <w:rPr>
                <w:sz w:val="20"/>
                <w:szCs w:val="20"/>
              </w:rPr>
            </w:pPr>
            <w:r w:rsidRPr="00770B0F">
              <w:rPr>
                <w:sz w:val="20"/>
                <w:szCs w:val="20"/>
              </w:rPr>
              <w:t>TCAP Achievement</w:t>
            </w:r>
          </w:p>
          <w:p w14:paraId="66CC2F6A" w14:textId="77777777" w:rsidR="00050AB8" w:rsidRPr="00770B0F" w:rsidRDefault="00050AB8">
            <w:pPr>
              <w:rPr>
                <w:sz w:val="20"/>
                <w:szCs w:val="20"/>
              </w:rPr>
            </w:pPr>
          </w:p>
          <w:p w14:paraId="4243EEBE" w14:textId="77777777" w:rsidR="00050AB8" w:rsidRPr="00770B0F" w:rsidRDefault="00A4206B">
            <w:pPr>
              <w:rPr>
                <w:sz w:val="20"/>
                <w:szCs w:val="20"/>
              </w:rPr>
            </w:pPr>
            <w:r w:rsidRPr="00770B0F">
              <w:rPr>
                <w:sz w:val="20"/>
                <w:szCs w:val="20"/>
              </w:rPr>
              <w:t>English</w:t>
            </w:r>
            <w:r w:rsidR="00050AB8" w:rsidRPr="00770B0F">
              <w:rPr>
                <w:sz w:val="20"/>
                <w:szCs w:val="20"/>
              </w:rPr>
              <w:t>/Language Arts, Math and Science</w:t>
            </w:r>
          </w:p>
        </w:tc>
        <w:tc>
          <w:tcPr>
            <w:tcW w:w="1620" w:type="dxa"/>
            <w:shd w:val="clear" w:color="auto" w:fill="95B3D7" w:themeFill="accent1" w:themeFillTint="99"/>
          </w:tcPr>
          <w:p w14:paraId="432AC4D1" w14:textId="77777777" w:rsidR="00050AB8" w:rsidRPr="00770B0F" w:rsidRDefault="00050AB8">
            <w:pPr>
              <w:rPr>
                <w:sz w:val="20"/>
                <w:szCs w:val="20"/>
              </w:rPr>
            </w:pPr>
            <w:r w:rsidRPr="00770B0F">
              <w:rPr>
                <w:sz w:val="20"/>
                <w:szCs w:val="20"/>
              </w:rPr>
              <w:t>Grades 3 -8</w:t>
            </w:r>
          </w:p>
        </w:tc>
        <w:tc>
          <w:tcPr>
            <w:tcW w:w="1530" w:type="dxa"/>
            <w:shd w:val="clear" w:color="auto" w:fill="95B3D7" w:themeFill="accent1" w:themeFillTint="99"/>
          </w:tcPr>
          <w:p w14:paraId="0F4DF48F" w14:textId="77777777" w:rsidR="00E25E8B" w:rsidRDefault="00615E1E">
            <w:pPr>
              <w:rPr>
                <w:sz w:val="20"/>
                <w:szCs w:val="20"/>
              </w:rPr>
            </w:pPr>
            <w:r>
              <w:rPr>
                <w:sz w:val="20"/>
                <w:szCs w:val="20"/>
              </w:rPr>
              <w:t>April 1</w:t>
            </w:r>
            <w:r w:rsidR="00EC1830">
              <w:rPr>
                <w:sz w:val="20"/>
                <w:szCs w:val="20"/>
              </w:rPr>
              <w:t>8</w:t>
            </w:r>
            <w:r w:rsidR="00050AB8" w:rsidRPr="00770B0F">
              <w:rPr>
                <w:sz w:val="20"/>
                <w:szCs w:val="20"/>
              </w:rPr>
              <w:t xml:space="preserve"> – May </w:t>
            </w:r>
            <w:r w:rsidR="00C96F75">
              <w:rPr>
                <w:sz w:val="20"/>
                <w:szCs w:val="20"/>
              </w:rPr>
              <w:t>6</w:t>
            </w:r>
            <w:r w:rsidR="00EC1830">
              <w:rPr>
                <w:sz w:val="20"/>
                <w:szCs w:val="20"/>
              </w:rPr>
              <w:t xml:space="preserve"> (paper-based)</w:t>
            </w:r>
          </w:p>
          <w:p w14:paraId="26570609" w14:textId="77777777" w:rsidR="00EC1830" w:rsidRDefault="00EC1830">
            <w:pPr>
              <w:rPr>
                <w:sz w:val="20"/>
                <w:szCs w:val="20"/>
              </w:rPr>
            </w:pPr>
          </w:p>
          <w:p w14:paraId="5ACD5EF0" w14:textId="5469ED75" w:rsidR="00EC1830" w:rsidRPr="00770B0F" w:rsidRDefault="00EC1830">
            <w:pPr>
              <w:rPr>
                <w:sz w:val="20"/>
                <w:szCs w:val="20"/>
              </w:rPr>
            </w:pPr>
            <w:r>
              <w:rPr>
                <w:sz w:val="20"/>
                <w:szCs w:val="20"/>
              </w:rPr>
              <w:t>April 18 – May 20 (computer-based)</w:t>
            </w:r>
          </w:p>
        </w:tc>
        <w:tc>
          <w:tcPr>
            <w:tcW w:w="2070" w:type="dxa"/>
            <w:shd w:val="clear" w:color="auto" w:fill="95B3D7" w:themeFill="accent1" w:themeFillTint="99"/>
          </w:tcPr>
          <w:p w14:paraId="13C0154D" w14:textId="09E12F0D" w:rsidR="00E25E8B" w:rsidRPr="00770B0F" w:rsidRDefault="00050AB8" w:rsidP="00DA534E">
            <w:pPr>
              <w:rPr>
                <w:sz w:val="20"/>
                <w:szCs w:val="20"/>
              </w:rPr>
            </w:pPr>
            <w:r w:rsidRPr="00770B0F">
              <w:rPr>
                <w:rFonts w:eastAsia="Times New Roman" w:cs="Times New Roman"/>
                <w:sz w:val="20"/>
                <w:szCs w:val="20"/>
              </w:rPr>
              <w:t>The TCAP tests are designed to assess true student understanding and not just basic memorization and test-taking skills. TCAP measures student understanding of our current state standards</w:t>
            </w:r>
            <w:r w:rsidR="00DA534E">
              <w:rPr>
                <w:rFonts w:eastAsia="Times New Roman" w:cs="Times New Roman"/>
                <w:sz w:val="20"/>
                <w:szCs w:val="20"/>
              </w:rPr>
              <w:t>.</w:t>
            </w:r>
          </w:p>
        </w:tc>
        <w:tc>
          <w:tcPr>
            <w:tcW w:w="1080" w:type="dxa"/>
            <w:shd w:val="clear" w:color="auto" w:fill="95B3D7" w:themeFill="accent1" w:themeFillTint="99"/>
          </w:tcPr>
          <w:p w14:paraId="4AFDE4F8" w14:textId="77777777" w:rsidR="00E25E8B" w:rsidRPr="00770B0F" w:rsidRDefault="00050AB8">
            <w:pPr>
              <w:rPr>
                <w:sz w:val="20"/>
                <w:szCs w:val="20"/>
              </w:rPr>
            </w:pPr>
            <w:r w:rsidRPr="00770B0F">
              <w:rPr>
                <w:sz w:val="20"/>
                <w:szCs w:val="20"/>
              </w:rPr>
              <w:t>State</w:t>
            </w:r>
          </w:p>
        </w:tc>
        <w:tc>
          <w:tcPr>
            <w:tcW w:w="3060" w:type="dxa"/>
            <w:shd w:val="clear" w:color="auto" w:fill="95B3D7" w:themeFill="accent1" w:themeFillTint="99"/>
          </w:tcPr>
          <w:p w14:paraId="0945C834" w14:textId="77777777" w:rsidR="00050AB8" w:rsidRPr="00770B0F" w:rsidRDefault="00050AB8" w:rsidP="00050AB8">
            <w:pPr>
              <w:pStyle w:val="NormalWeb"/>
              <w:rPr>
                <w:rFonts w:asciiTheme="minorHAnsi" w:hAnsiTheme="minorHAnsi"/>
              </w:rPr>
            </w:pPr>
            <w:r w:rsidRPr="00770B0F">
              <w:rPr>
                <w:rFonts w:asciiTheme="minorHAnsi" w:hAnsiTheme="minorHAnsi"/>
              </w:rPr>
              <w:t>Quick score reports, which provide teachers and parents with a snapshot of their student’s performance, are provided to districts by end of school year. These are used to help calculate final grades for report cards.</w:t>
            </w:r>
          </w:p>
          <w:p w14:paraId="017571B7" w14:textId="561BB035" w:rsidR="00863210" w:rsidRDefault="00615E1E" w:rsidP="00615E1E">
            <w:pPr>
              <w:pStyle w:val="NormalWeb"/>
              <w:rPr>
                <w:rFonts w:asciiTheme="minorHAnsi" w:hAnsiTheme="minorHAnsi"/>
              </w:rPr>
            </w:pPr>
            <w:r w:rsidRPr="00770B0F">
              <w:rPr>
                <w:rFonts w:asciiTheme="minorHAnsi" w:hAnsiTheme="minorHAnsi"/>
              </w:rPr>
              <w:t>Districts receive individual performance reports which summarize student performance in more detail. Districts can choose how and when to share these reports with parents.</w:t>
            </w:r>
          </w:p>
          <w:p w14:paraId="7F43C548" w14:textId="77777777" w:rsidR="004B7920" w:rsidRDefault="004B7920" w:rsidP="00615E1E">
            <w:pPr>
              <w:pStyle w:val="NormalWeb"/>
              <w:rPr>
                <w:rFonts w:asciiTheme="minorHAnsi" w:hAnsiTheme="minorHAnsi"/>
              </w:rPr>
            </w:pPr>
          </w:p>
          <w:p w14:paraId="39AA167B" w14:textId="66EBDC75" w:rsidR="00EF3002" w:rsidRPr="00770B0F" w:rsidRDefault="00EF3002" w:rsidP="00615E1E">
            <w:pPr>
              <w:pStyle w:val="NormalWeb"/>
              <w:rPr>
                <w:rFonts w:asciiTheme="minorHAnsi" w:hAnsiTheme="minorHAnsi"/>
              </w:rPr>
            </w:pPr>
          </w:p>
        </w:tc>
      </w:tr>
      <w:tr w:rsidR="00DD6734" w14:paraId="415A52D9" w14:textId="77777777" w:rsidTr="00EF3002">
        <w:tc>
          <w:tcPr>
            <w:tcW w:w="1980" w:type="dxa"/>
            <w:shd w:val="clear" w:color="auto" w:fill="DBE5F1" w:themeFill="accent1" w:themeFillTint="33"/>
          </w:tcPr>
          <w:p w14:paraId="68415B65" w14:textId="77777777" w:rsidR="00E25E8B" w:rsidRPr="00770B0F" w:rsidRDefault="00C54CB6">
            <w:pPr>
              <w:rPr>
                <w:sz w:val="20"/>
                <w:szCs w:val="20"/>
              </w:rPr>
            </w:pPr>
            <w:r w:rsidRPr="00770B0F">
              <w:rPr>
                <w:sz w:val="20"/>
                <w:szCs w:val="20"/>
              </w:rPr>
              <w:t>TCAP – EOC</w:t>
            </w:r>
          </w:p>
          <w:p w14:paraId="2E5C3185" w14:textId="77777777" w:rsidR="00C54CB6" w:rsidRPr="00770B0F" w:rsidRDefault="00C54CB6">
            <w:pPr>
              <w:rPr>
                <w:sz w:val="20"/>
                <w:szCs w:val="20"/>
              </w:rPr>
            </w:pPr>
            <w:r w:rsidRPr="00770B0F">
              <w:rPr>
                <w:sz w:val="20"/>
                <w:szCs w:val="20"/>
              </w:rPr>
              <w:t>End of Course</w:t>
            </w:r>
          </w:p>
        </w:tc>
        <w:tc>
          <w:tcPr>
            <w:tcW w:w="1620" w:type="dxa"/>
            <w:shd w:val="clear" w:color="auto" w:fill="DBE5F1" w:themeFill="accent1" w:themeFillTint="33"/>
          </w:tcPr>
          <w:p w14:paraId="21E49083" w14:textId="4B5B32F6" w:rsidR="00E25E8B" w:rsidRPr="00770B0F" w:rsidRDefault="00DA534E">
            <w:pPr>
              <w:rPr>
                <w:sz w:val="20"/>
                <w:szCs w:val="20"/>
              </w:rPr>
            </w:pPr>
            <w:r>
              <w:rPr>
                <w:sz w:val="20"/>
                <w:szCs w:val="20"/>
              </w:rPr>
              <w:t>English I, II Biology I</w:t>
            </w:r>
            <w:r w:rsidR="00C54CB6" w:rsidRPr="00770B0F">
              <w:rPr>
                <w:sz w:val="20"/>
                <w:szCs w:val="20"/>
              </w:rPr>
              <w:t>, U.S. History, Algebra I &amp; II, Geometry</w:t>
            </w:r>
          </w:p>
        </w:tc>
        <w:tc>
          <w:tcPr>
            <w:tcW w:w="1530" w:type="dxa"/>
            <w:shd w:val="clear" w:color="auto" w:fill="DBE5F1" w:themeFill="accent1" w:themeFillTint="33"/>
          </w:tcPr>
          <w:p w14:paraId="78211676" w14:textId="1078D34F" w:rsidR="00282B5E" w:rsidRDefault="00C96F75">
            <w:pPr>
              <w:rPr>
                <w:sz w:val="20"/>
                <w:szCs w:val="20"/>
              </w:rPr>
            </w:pPr>
            <w:r>
              <w:rPr>
                <w:sz w:val="20"/>
                <w:szCs w:val="20"/>
              </w:rPr>
              <w:t xml:space="preserve">Nov </w:t>
            </w:r>
            <w:r w:rsidR="00EC1830">
              <w:rPr>
                <w:sz w:val="20"/>
                <w:szCs w:val="20"/>
              </w:rPr>
              <w:t>29</w:t>
            </w:r>
            <w:r w:rsidR="00282B5E">
              <w:rPr>
                <w:sz w:val="20"/>
                <w:szCs w:val="20"/>
              </w:rPr>
              <w:t xml:space="preserve"> – Dec 1</w:t>
            </w:r>
            <w:r w:rsidR="00EC1830">
              <w:rPr>
                <w:sz w:val="20"/>
                <w:szCs w:val="20"/>
              </w:rPr>
              <w:t>6</w:t>
            </w:r>
            <w:r w:rsidR="00282B5E">
              <w:rPr>
                <w:sz w:val="20"/>
                <w:szCs w:val="20"/>
              </w:rPr>
              <w:t xml:space="preserve"> (Fall Block)</w:t>
            </w:r>
          </w:p>
          <w:p w14:paraId="2B36AAFF" w14:textId="77777777" w:rsidR="00282B5E" w:rsidRDefault="00282B5E">
            <w:pPr>
              <w:rPr>
                <w:sz w:val="20"/>
                <w:szCs w:val="20"/>
              </w:rPr>
            </w:pPr>
          </w:p>
          <w:p w14:paraId="2DECE15A" w14:textId="77777777" w:rsidR="00282B5E" w:rsidRDefault="00282B5E">
            <w:pPr>
              <w:rPr>
                <w:sz w:val="20"/>
                <w:szCs w:val="20"/>
              </w:rPr>
            </w:pPr>
          </w:p>
          <w:p w14:paraId="37D24D17" w14:textId="2C1C3C9C" w:rsidR="00C54CB6" w:rsidRDefault="00EC1830">
            <w:pPr>
              <w:rPr>
                <w:sz w:val="20"/>
                <w:szCs w:val="20"/>
              </w:rPr>
            </w:pPr>
            <w:r>
              <w:rPr>
                <w:sz w:val="20"/>
                <w:szCs w:val="20"/>
              </w:rPr>
              <w:t>March 14</w:t>
            </w:r>
            <w:r w:rsidR="00C54CB6" w:rsidRPr="00770B0F">
              <w:rPr>
                <w:sz w:val="20"/>
                <w:szCs w:val="20"/>
              </w:rPr>
              <w:t xml:space="preserve"> – </w:t>
            </w:r>
            <w:r>
              <w:rPr>
                <w:sz w:val="20"/>
                <w:szCs w:val="20"/>
              </w:rPr>
              <w:t>April 29</w:t>
            </w:r>
          </w:p>
          <w:p w14:paraId="05F8AEA6" w14:textId="77777777" w:rsidR="00282B5E" w:rsidRDefault="00282B5E">
            <w:pPr>
              <w:rPr>
                <w:sz w:val="20"/>
                <w:szCs w:val="20"/>
              </w:rPr>
            </w:pPr>
            <w:r>
              <w:rPr>
                <w:sz w:val="20"/>
                <w:szCs w:val="20"/>
              </w:rPr>
              <w:t>(Spring Block/</w:t>
            </w:r>
          </w:p>
          <w:p w14:paraId="1BEF36D7" w14:textId="68D9C8C9" w:rsidR="00282B5E" w:rsidRPr="00770B0F" w:rsidRDefault="00282B5E">
            <w:pPr>
              <w:rPr>
                <w:sz w:val="20"/>
                <w:szCs w:val="20"/>
              </w:rPr>
            </w:pPr>
            <w:r>
              <w:rPr>
                <w:sz w:val="20"/>
                <w:szCs w:val="20"/>
              </w:rPr>
              <w:t>Traditional)</w:t>
            </w:r>
          </w:p>
        </w:tc>
        <w:tc>
          <w:tcPr>
            <w:tcW w:w="2070" w:type="dxa"/>
            <w:shd w:val="clear" w:color="auto" w:fill="DBE5F1" w:themeFill="accent1" w:themeFillTint="33"/>
          </w:tcPr>
          <w:p w14:paraId="43178F93" w14:textId="167C9166" w:rsidR="00C54CB6" w:rsidRPr="00770B0F" w:rsidRDefault="00C54CB6" w:rsidP="00C54CB6">
            <w:pPr>
              <w:pStyle w:val="NormalWeb"/>
              <w:rPr>
                <w:rFonts w:asciiTheme="minorHAnsi" w:hAnsiTheme="minorHAnsi"/>
              </w:rPr>
            </w:pPr>
            <w:r w:rsidRPr="00770B0F">
              <w:rPr>
                <w:rFonts w:asciiTheme="minorHAnsi" w:hAnsiTheme="minorHAnsi"/>
              </w:rPr>
              <w:t xml:space="preserve">The TCAP tests are designed to assess true student understanding and not just basic memorization and test-taking skills. They measure student understanding of our current state </w:t>
            </w:r>
            <w:r w:rsidR="00DA534E">
              <w:rPr>
                <w:rFonts w:asciiTheme="minorHAnsi" w:hAnsiTheme="minorHAnsi"/>
              </w:rPr>
              <w:t>standards.</w:t>
            </w:r>
          </w:p>
          <w:p w14:paraId="333C08E6" w14:textId="77777777" w:rsidR="00863210" w:rsidRDefault="00C54CB6" w:rsidP="00C54CB6">
            <w:pPr>
              <w:pStyle w:val="NormalWeb"/>
              <w:rPr>
                <w:rFonts w:asciiTheme="minorHAnsi" w:hAnsiTheme="minorHAnsi"/>
              </w:rPr>
            </w:pPr>
            <w:r w:rsidRPr="00770B0F">
              <w:rPr>
                <w:rFonts w:asciiTheme="minorHAnsi" w:hAnsiTheme="minorHAnsi"/>
              </w:rPr>
              <w:t>TCAP EOC assessments are given to help measure how much a student grows academically in a particular content area.</w:t>
            </w:r>
          </w:p>
          <w:p w14:paraId="690EAB1D" w14:textId="11981A9A" w:rsidR="00EF3002" w:rsidRPr="00770B0F" w:rsidRDefault="00EF3002" w:rsidP="00C54CB6">
            <w:pPr>
              <w:pStyle w:val="NormalWeb"/>
              <w:rPr>
                <w:rFonts w:asciiTheme="minorHAnsi" w:hAnsiTheme="minorHAnsi"/>
              </w:rPr>
            </w:pPr>
          </w:p>
        </w:tc>
        <w:tc>
          <w:tcPr>
            <w:tcW w:w="1080" w:type="dxa"/>
            <w:shd w:val="clear" w:color="auto" w:fill="DBE5F1" w:themeFill="accent1" w:themeFillTint="33"/>
          </w:tcPr>
          <w:p w14:paraId="72C763CE" w14:textId="77777777" w:rsidR="00E25E8B" w:rsidRPr="00770B0F" w:rsidRDefault="00C54CB6">
            <w:pPr>
              <w:rPr>
                <w:sz w:val="20"/>
                <w:szCs w:val="20"/>
              </w:rPr>
            </w:pPr>
            <w:r w:rsidRPr="00770B0F">
              <w:rPr>
                <w:sz w:val="20"/>
                <w:szCs w:val="20"/>
              </w:rPr>
              <w:t xml:space="preserve">State </w:t>
            </w:r>
          </w:p>
        </w:tc>
        <w:tc>
          <w:tcPr>
            <w:tcW w:w="3060" w:type="dxa"/>
            <w:shd w:val="clear" w:color="auto" w:fill="DBE5F1" w:themeFill="accent1" w:themeFillTint="33"/>
          </w:tcPr>
          <w:p w14:paraId="72AFDEF4" w14:textId="77777777" w:rsidR="00DA534E" w:rsidRPr="00770B0F" w:rsidRDefault="00DA534E" w:rsidP="00DA534E">
            <w:pPr>
              <w:pStyle w:val="NormalWeb"/>
              <w:rPr>
                <w:rFonts w:asciiTheme="minorHAnsi" w:hAnsiTheme="minorHAnsi"/>
              </w:rPr>
            </w:pPr>
            <w:r w:rsidRPr="00770B0F">
              <w:rPr>
                <w:rFonts w:asciiTheme="minorHAnsi" w:hAnsiTheme="minorHAnsi"/>
              </w:rPr>
              <w:t>Quick score reports, which provide teachers and parents with a snapshot of their student’s performance, are provided to districts by end of school year. These are used to help calculate final grades for report cards.</w:t>
            </w:r>
          </w:p>
          <w:p w14:paraId="0919E45C" w14:textId="600936C4" w:rsidR="00DD6734" w:rsidRPr="00770B0F" w:rsidRDefault="00DA534E" w:rsidP="00DA534E">
            <w:pPr>
              <w:pStyle w:val="NormalWeb"/>
              <w:rPr>
                <w:rFonts w:asciiTheme="minorHAnsi" w:hAnsiTheme="minorHAnsi"/>
              </w:rPr>
            </w:pPr>
            <w:r w:rsidRPr="00770B0F">
              <w:rPr>
                <w:rFonts w:asciiTheme="minorHAnsi" w:hAnsiTheme="minorHAnsi"/>
              </w:rPr>
              <w:t>Districts receive individual performance reports which summarize student performance in more detail. Districts can choose how and when to share these reports with parents.</w:t>
            </w:r>
          </w:p>
        </w:tc>
      </w:tr>
      <w:tr w:rsidR="00DD6734" w14:paraId="35DFAD3D" w14:textId="77777777" w:rsidTr="00EF3002">
        <w:tc>
          <w:tcPr>
            <w:tcW w:w="1980" w:type="dxa"/>
            <w:shd w:val="clear" w:color="auto" w:fill="95B3D7" w:themeFill="accent1" w:themeFillTint="99"/>
          </w:tcPr>
          <w:p w14:paraId="412915DD" w14:textId="77777777" w:rsidR="00E25E8B" w:rsidRPr="00770B0F" w:rsidRDefault="00AF395D">
            <w:pPr>
              <w:rPr>
                <w:sz w:val="20"/>
                <w:szCs w:val="20"/>
              </w:rPr>
            </w:pPr>
            <w:r w:rsidRPr="00770B0F">
              <w:rPr>
                <w:sz w:val="20"/>
                <w:szCs w:val="20"/>
              </w:rPr>
              <w:lastRenderedPageBreak/>
              <w:t>U.</w:t>
            </w:r>
            <w:r w:rsidR="006A7C9C" w:rsidRPr="00770B0F">
              <w:rPr>
                <w:sz w:val="20"/>
                <w:szCs w:val="20"/>
              </w:rPr>
              <w:t xml:space="preserve">S. Civics </w:t>
            </w:r>
            <w:r w:rsidR="00C54CB6" w:rsidRPr="00770B0F">
              <w:rPr>
                <w:sz w:val="20"/>
                <w:szCs w:val="20"/>
              </w:rPr>
              <w:t>Assessment</w:t>
            </w:r>
          </w:p>
        </w:tc>
        <w:tc>
          <w:tcPr>
            <w:tcW w:w="1620" w:type="dxa"/>
            <w:shd w:val="clear" w:color="auto" w:fill="95B3D7" w:themeFill="accent1" w:themeFillTint="99"/>
          </w:tcPr>
          <w:p w14:paraId="6038A09E" w14:textId="77777777" w:rsidR="00E25E8B" w:rsidRPr="00770B0F" w:rsidRDefault="00C54CB6">
            <w:pPr>
              <w:rPr>
                <w:sz w:val="20"/>
                <w:szCs w:val="20"/>
              </w:rPr>
            </w:pPr>
            <w:r w:rsidRPr="00770B0F">
              <w:rPr>
                <w:sz w:val="20"/>
                <w:szCs w:val="20"/>
              </w:rPr>
              <w:t xml:space="preserve">Grade 12 </w:t>
            </w:r>
          </w:p>
        </w:tc>
        <w:tc>
          <w:tcPr>
            <w:tcW w:w="1530" w:type="dxa"/>
            <w:shd w:val="clear" w:color="auto" w:fill="95B3D7" w:themeFill="accent1" w:themeFillTint="99"/>
          </w:tcPr>
          <w:p w14:paraId="7776A55C" w14:textId="77777777" w:rsidR="00E25E8B" w:rsidRPr="00770B0F" w:rsidRDefault="00C54CB6">
            <w:pPr>
              <w:rPr>
                <w:sz w:val="20"/>
                <w:szCs w:val="20"/>
              </w:rPr>
            </w:pPr>
            <w:r w:rsidRPr="00770B0F">
              <w:rPr>
                <w:sz w:val="20"/>
                <w:szCs w:val="20"/>
              </w:rPr>
              <w:t xml:space="preserve">Throughout the school year </w:t>
            </w:r>
          </w:p>
        </w:tc>
        <w:tc>
          <w:tcPr>
            <w:tcW w:w="2070" w:type="dxa"/>
            <w:shd w:val="clear" w:color="auto" w:fill="95B3D7" w:themeFill="accent1" w:themeFillTint="99"/>
          </w:tcPr>
          <w:p w14:paraId="1DB2C411" w14:textId="77777777" w:rsidR="00E25E8B" w:rsidRPr="00770B0F" w:rsidRDefault="006A7C9C">
            <w:pPr>
              <w:rPr>
                <w:rFonts w:eastAsia="Times New Roman" w:cs="Times New Roman"/>
                <w:sz w:val="20"/>
                <w:szCs w:val="20"/>
              </w:rPr>
            </w:pPr>
            <w:r w:rsidRPr="00770B0F">
              <w:rPr>
                <w:rFonts w:eastAsia="Times New Roman" w:cs="Times New Roman"/>
                <w:sz w:val="20"/>
                <w:szCs w:val="20"/>
              </w:rPr>
              <w:t xml:space="preserve">The project-based </w:t>
            </w:r>
            <w:r w:rsidRPr="00770B0F">
              <w:rPr>
                <w:rStyle w:val="il"/>
                <w:rFonts w:eastAsia="Times New Roman" w:cs="Times New Roman"/>
                <w:sz w:val="20"/>
                <w:szCs w:val="20"/>
              </w:rPr>
              <w:t>civics</w:t>
            </w:r>
            <w:r w:rsidRPr="00770B0F">
              <w:rPr>
                <w:rFonts w:eastAsia="Times New Roman" w:cs="Times New Roman"/>
                <w:sz w:val="20"/>
                <w:szCs w:val="20"/>
              </w:rPr>
              <w:t xml:space="preserve"> </w:t>
            </w:r>
            <w:r w:rsidRPr="00770B0F">
              <w:rPr>
                <w:rStyle w:val="il"/>
                <w:rFonts w:eastAsia="Times New Roman" w:cs="Times New Roman"/>
                <w:sz w:val="20"/>
                <w:szCs w:val="20"/>
              </w:rPr>
              <w:t>assessments</w:t>
            </w:r>
            <w:r w:rsidRPr="00770B0F">
              <w:rPr>
                <w:rFonts w:eastAsia="Times New Roman" w:cs="Times New Roman"/>
                <w:sz w:val="20"/>
                <w:szCs w:val="20"/>
              </w:rPr>
              <w:t xml:space="preserve"> are developed by the district to ensure students are being taught the learning objectives contained within the social studies curriculum as well as to demonstrate understanding of </w:t>
            </w:r>
            <w:r w:rsidRPr="00770B0F">
              <w:rPr>
                <w:rStyle w:val="il"/>
                <w:rFonts w:eastAsia="Times New Roman" w:cs="Times New Roman"/>
                <w:sz w:val="20"/>
                <w:szCs w:val="20"/>
              </w:rPr>
              <w:t>civics</w:t>
            </w:r>
            <w:r w:rsidRPr="00770B0F">
              <w:rPr>
                <w:rFonts w:eastAsia="Times New Roman" w:cs="Times New Roman"/>
                <w:sz w:val="20"/>
                <w:szCs w:val="20"/>
              </w:rPr>
              <w:t>.</w:t>
            </w:r>
          </w:p>
          <w:p w14:paraId="6E188D93" w14:textId="77777777" w:rsidR="00890615" w:rsidRPr="00770B0F" w:rsidRDefault="00890615">
            <w:pPr>
              <w:rPr>
                <w:sz w:val="20"/>
                <w:szCs w:val="20"/>
              </w:rPr>
            </w:pPr>
            <w:r w:rsidRPr="00770B0F">
              <w:rPr>
                <w:rFonts w:eastAsia="Times New Roman" w:cs="Times New Roman"/>
                <w:sz w:val="20"/>
                <w:szCs w:val="20"/>
              </w:rPr>
              <w:t>Graduation requirement for 2016-2017 and beyond.</w:t>
            </w:r>
          </w:p>
        </w:tc>
        <w:tc>
          <w:tcPr>
            <w:tcW w:w="1080" w:type="dxa"/>
            <w:shd w:val="clear" w:color="auto" w:fill="95B3D7" w:themeFill="accent1" w:themeFillTint="99"/>
          </w:tcPr>
          <w:p w14:paraId="3EFC3298" w14:textId="77777777" w:rsidR="00E25E8B" w:rsidRPr="00770B0F" w:rsidRDefault="006A7C9C">
            <w:pPr>
              <w:rPr>
                <w:sz w:val="20"/>
                <w:szCs w:val="20"/>
              </w:rPr>
            </w:pPr>
            <w:r w:rsidRPr="00770B0F">
              <w:rPr>
                <w:sz w:val="20"/>
                <w:szCs w:val="20"/>
              </w:rPr>
              <w:t>State</w:t>
            </w:r>
          </w:p>
        </w:tc>
        <w:tc>
          <w:tcPr>
            <w:tcW w:w="3060" w:type="dxa"/>
            <w:shd w:val="clear" w:color="auto" w:fill="95B3D7" w:themeFill="accent1" w:themeFillTint="99"/>
          </w:tcPr>
          <w:p w14:paraId="6C2DC429" w14:textId="77777777" w:rsidR="00E25E8B" w:rsidRPr="00770B0F" w:rsidRDefault="006A7C9C">
            <w:pPr>
              <w:rPr>
                <w:rFonts w:eastAsia="Times New Roman" w:cs="Times New Roman"/>
                <w:sz w:val="20"/>
                <w:szCs w:val="20"/>
              </w:rPr>
            </w:pPr>
            <w:r w:rsidRPr="00770B0F">
              <w:rPr>
                <w:rFonts w:eastAsia="Times New Roman" w:cs="Times New Roman"/>
                <w:sz w:val="20"/>
                <w:szCs w:val="20"/>
              </w:rPr>
              <w:t>Students must correctly answer at least 70 percent of the questions on the test to earn a passing grade. A student may participate in the test as many times as necessary to earn a passing grade.</w:t>
            </w:r>
          </w:p>
          <w:p w14:paraId="32CB5C05" w14:textId="77777777" w:rsidR="006A7C9C" w:rsidRPr="00770B0F" w:rsidRDefault="006A7C9C">
            <w:pPr>
              <w:rPr>
                <w:rFonts w:eastAsia="Times New Roman" w:cs="Times New Roman"/>
                <w:sz w:val="20"/>
                <w:szCs w:val="20"/>
              </w:rPr>
            </w:pPr>
          </w:p>
          <w:p w14:paraId="3E9600DC" w14:textId="41B828A9" w:rsidR="006A7C9C" w:rsidRPr="00770B0F" w:rsidRDefault="00DD6734">
            <w:pPr>
              <w:rPr>
                <w:rFonts w:eastAsia="Times New Roman" w:cs="Times New Roman"/>
                <w:sz w:val="20"/>
                <w:szCs w:val="20"/>
              </w:rPr>
            </w:pPr>
            <w:r w:rsidRPr="00770B0F">
              <w:rPr>
                <w:rFonts w:eastAsia="Times New Roman" w:cs="Times New Roman"/>
                <w:sz w:val="20"/>
                <w:szCs w:val="20"/>
              </w:rPr>
              <w:t>H</w:t>
            </w:r>
            <w:r w:rsidR="00DA534E">
              <w:rPr>
                <w:rFonts w:eastAsia="Times New Roman" w:cs="Times New Roman"/>
                <w:sz w:val="20"/>
                <w:szCs w:val="20"/>
              </w:rPr>
              <w:t>igh school students</w:t>
            </w:r>
            <w:r w:rsidR="006A7C9C" w:rsidRPr="00770B0F">
              <w:rPr>
                <w:rFonts w:eastAsia="Times New Roman" w:cs="Times New Roman"/>
                <w:sz w:val="20"/>
                <w:szCs w:val="20"/>
              </w:rPr>
              <w:t xml:space="preserve"> are expected to participate in the civics test; however, a passing grade is not a requirement for graduation. </w:t>
            </w:r>
          </w:p>
          <w:p w14:paraId="1BABD7FC" w14:textId="77777777" w:rsidR="00DD6734" w:rsidRPr="00770B0F" w:rsidRDefault="00DD6734">
            <w:pPr>
              <w:rPr>
                <w:rFonts w:eastAsia="Times New Roman" w:cs="Times New Roman"/>
                <w:sz w:val="20"/>
                <w:szCs w:val="20"/>
              </w:rPr>
            </w:pPr>
          </w:p>
          <w:p w14:paraId="46B2BB38" w14:textId="77777777" w:rsidR="00DD6734" w:rsidRDefault="006A7C9C">
            <w:pPr>
              <w:rPr>
                <w:rFonts w:eastAsia="Times New Roman" w:cs="Times New Roman"/>
                <w:sz w:val="20"/>
                <w:szCs w:val="20"/>
              </w:rPr>
            </w:pPr>
            <w:r w:rsidRPr="00770B0F">
              <w:rPr>
                <w:rFonts w:eastAsia="Times New Roman" w:cs="Times New Roman"/>
                <w:sz w:val="20"/>
                <w:szCs w:val="20"/>
              </w:rPr>
              <w:t xml:space="preserve">Scores will not be used as a grade. </w:t>
            </w:r>
          </w:p>
          <w:p w14:paraId="073EC7B7" w14:textId="77777777" w:rsidR="00AA18D7" w:rsidRDefault="00AA18D7">
            <w:pPr>
              <w:rPr>
                <w:rFonts w:eastAsia="Times New Roman" w:cs="Times New Roman"/>
                <w:sz w:val="20"/>
                <w:szCs w:val="20"/>
              </w:rPr>
            </w:pPr>
          </w:p>
          <w:p w14:paraId="4DC24095" w14:textId="77777777" w:rsidR="00AA18D7" w:rsidRDefault="00AA18D7">
            <w:pPr>
              <w:rPr>
                <w:rFonts w:eastAsia="Times New Roman" w:cs="Times New Roman"/>
                <w:sz w:val="20"/>
                <w:szCs w:val="20"/>
              </w:rPr>
            </w:pPr>
          </w:p>
          <w:p w14:paraId="7A55E048" w14:textId="77777777" w:rsidR="00EF3002" w:rsidRDefault="00EF3002">
            <w:pPr>
              <w:rPr>
                <w:rFonts w:eastAsia="Times New Roman" w:cs="Times New Roman"/>
                <w:sz w:val="20"/>
                <w:szCs w:val="20"/>
              </w:rPr>
            </w:pPr>
          </w:p>
          <w:p w14:paraId="79EA8AE7" w14:textId="048195A0" w:rsidR="004B7920" w:rsidRPr="00770B0F" w:rsidRDefault="004B7920">
            <w:pPr>
              <w:rPr>
                <w:rFonts w:eastAsia="Times New Roman" w:cs="Times New Roman"/>
                <w:sz w:val="20"/>
                <w:szCs w:val="20"/>
              </w:rPr>
            </w:pPr>
          </w:p>
        </w:tc>
      </w:tr>
      <w:tr w:rsidR="00DD6734" w14:paraId="555CBD24" w14:textId="77777777" w:rsidTr="00EF3002">
        <w:tc>
          <w:tcPr>
            <w:tcW w:w="1980" w:type="dxa"/>
            <w:shd w:val="clear" w:color="auto" w:fill="DBE5F1" w:themeFill="accent1" w:themeFillTint="33"/>
          </w:tcPr>
          <w:p w14:paraId="6105D799" w14:textId="77777777" w:rsidR="00E25E8B" w:rsidRPr="00770B0F" w:rsidRDefault="00890615">
            <w:pPr>
              <w:rPr>
                <w:sz w:val="20"/>
                <w:szCs w:val="20"/>
              </w:rPr>
            </w:pPr>
            <w:r w:rsidRPr="00770B0F">
              <w:rPr>
                <w:sz w:val="20"/>
                <w:szCs w:val="20"/>
              </w:rPr>
              <w:t>ACT</w:t>
            </w:r>
          </w:p>
        </w:tc>
        <w:tc>
          <w:tcPr>
            <w:tcW w:w="1620" w:type="dxa"/>
            <w:shd w:val="clear" w:color="auto" w:fill="DBE5F1" w:themeFill="accent1" w:themeFillTint="33"/>
          </w:tcPr>
          <w:p w14:paraId="382CEBA3" w14:textId="51963898" w:rsidR="00C96F75" w:rsidRPr="00770B0F" w:rsidRDefault="00890615">
            <w:pPr>
              <w:rPr>
                <w:sz w:val="20"/>
                <w:szCs w:val="20"/>
              </w:rPr>
            </w:pPr>
            <w:r w:rsidRPr="00770B0F">
              <w:rPr>
                <w:sz w:val="20"/>
                <w:szCs w:val="20"/>
              </w:rPr>
              <w:t>Grade 11</w:t>
            </w:r>
          </w:p>
        </w:tc>
        <w:tc>
          <w:tcPr>
            <w:tcW w:w="1530" w:type="dxa"/>
            <w:shd w:val="clear" w:color="auto" w:fill="DBE5F1" w:themeFill="accent1" w:themeFillTint="33"/>
          </w:tcPr>
          <w:p w14:paraId="7BF573AD" w14:textId="119CB7F8" w:rsidR="00282B5E" w:rsidRDefault="00C96F75">
            <w:pPr>
              <w:rPr>
                <w:sz w:val="20"/>
                <w:szCs w:val="20"/>
              </w:rPr>
            </w:pPr>
            <w:r>
              <w:rPr>
                <w:sz w:val="20"/>
                <w:szCs w:val="20"/>
              </w:rPr>
              <w:t xml:space="preserve">March </w:t>
            </w:r>
            <w:r w:rsidR="00EC1830">
              <w:rPr>
                <w:sz w:val="20"/>
                <w:szCs w:val="20"/>
              </w:rPr>
              <w:t>1</w:t>
            </w:r>
          </w:p>
          <w:p w14:paraId="29D1BCCE" w14:textId="77777777" w:rsidR="00DA534E" w:rsidRDefault="00DA534E">
            <w:pPr>
              <w:rPr>
                <w:sz w:val="20"/>
                <w:szCs w:val="20"/>
              </w:rPr>
            </w:pPr>
          </w:p>
          <w:p w14:paraId="6E44FD7B" w14:textId="2628CCF6" w:rsidR="00DA534E" w:rsidRDefault="00DA534E">
            <w:pPr>
              <w:rPr>
                <w:sz w:val="20"/>
                <w:szCs w:val="20"/>
              </w:rPr>
            </w:pPr>
            <w:r>
              <w:rPr>
                <w:sz w:val="20"/>
                <w:szCs w:val="20"/>
              </w:rPr>
              <w:t xml:space="preserve">Make-ups </w:t>
            </w:r>
          </w:p>
          <w:p w14:paraId="064BC739" w14:textId="33A6A332" w:rsidR="00282B5E" w:rsidRDefault="00282B5E">
            <w:pPr>
              <w:rPr>
                <w:sz w:val="20"/>
                <w:szCs w:val="20"/>
              </w:rPr>
            </w:pPr>
            <w:r>
              <w:rPr>
                <w:sz w:val="20"/>
                <w:szCs w:val="20"/>
              </w:rPr>
              <w:t>TBA</w:t>
            </w:r>
          </w:p>
          <w:p w14:paraId="2E58AB00" w14:textId="7DCC6D5C" w:rsidR="00DA534E" w:rsidRPr="00770B0F" w:rsidRDefault="00C96F75">
            <w:pPr>
              <w:rPr>
                <w:sz w:val="20"/>
                <w:szCs w:val="20"/>
              </w:rPr>
            </w:pPr>
            <w:r>
              <w:rPr>
                <w:sz w:val="20"/>
                <w:szCs w:val="20"/>
              </w:rPr>
              <w:t xml:space="preserve">March </w:t>
            </w:r>
            <w:r w:rsidR="00DA534E">
              <w:rPr>
                <w:sz w:val="20"/>
                <w:szCs w:val="20"/>
              </w:rPr>
              <w:t xml:space="preserve"> </w:t>
            </w:r>
            <w:r w:rsidR="00282B5E">
              <w:rPr>
                <w:sz w:val="20"/>
                <w:szCs w:val="20"/>
              </w:rPr>
              <w:t>20</w:t>
            </w:r>
            <w:r>
              <w:rPr>
                <w:sz w:val="20"/>
                <w:szCs w:val="20"/>
              </w:rPr>
              <w:t>2</w:t>
            </w:r>
            <w:r w:rsidR="00C26B70">
              <w:rPr>
                <w:sz w:val="20"/>
                <w:szCs w:val="20"/>
              </w:rPr>
              <w:t>2</w:t>
            </w:r>
          </w:p>
        </w:tc>
        <w:tc>
          <w:tcPr>
            <w:tcW w:w="2070" w:type="dxa"/>
            <w:shd w:val="clear" w:color="auto" w:fill="DBE5F1" w:themeFill="accent1" w:themeFillTint="33"/>
          </w:tcPr>
          <w:p w14:paraId="1AA4F03A" w14:textId="77777777" w:rsidR="00E25E8B" w:rsidRPr="00770B0F" w:rsidRDefault="00890615">
            <w:pPr>
              <w:rPr>
                <w:rFonts w:eastAsia="Times New Roman" w:cs="Times New Roman"/>
                <w:sz w:val="20"/>
                <w:szCs w:val="20"/>
              </w:rPr>
            </w:pPr>
            <w:r w:rsidRPr="00770B0F">
              <w:rPr>
                <w:rFonts w:eastAsia="Times New Roman" w:cs="Times New Roman"/>
                <w:sz w:val="20"/>
                <w:szCs w:val="20"/>
              </w:rPr>
              <w:t xml:space="preserve">All </w:t>
            </w:r>
            <w:proofErr w:type="gramStart"/>
            <w:r w:rsidRPr="00770B0F">
              <w:rPr>
                <w:rFonts w:eastAsia="Times New Roman" w:cs="Times New Roman"/>
                <w:sz w:val="20"/>
                <w:szCs w:val="20"/>
              </w:rPr>
              <w:t>public school</w:t>
            </w:r>
            <w:proofErr w:type="gramEnd"/>
            <w:r w:rsidRPr="00770B0F">
              <w:rPr>
                <w:rFonts w:eastAsia="Times New Roman" w:cs="Times New Roman"/>
                <w:sz w:val="20"/>
                <w:szCs w:val="20"/>
              </w:rPr>
              <w:t xml:space="preserve"> students must participate in a postsecondary readiness assessment such as the ACT or SAT.</w:t>
            </w:r>
          </w:p>
          <w:p w14:paraId="44A090A6" w14:textId="77777777" w:rsidR="00890615" w:rsidRPr="00770B0F" w:rsidRDefault="00890615">
            <w:pPr>
              <w:rPr>
                <w:rFonts w:eastAsia="Times New Roman" w:cs="Times New Roman"/>
                <w:sz w:val="20"/>
                <w:szCs w:val="20"/>
              </w:rPr>
            </w:pPr>
          </w:p>
          <w:p w14:paraId="5EDA1741" w14:textId="77777777" w:rsidR="00890615" w:rsidRPr="00770B0F" w:rsidRDefault="00890615">
            <w:pPr>
              <w:rPr>
                <w:rFonts w:eastAsia="Times New Roman" w:cs="Times New Roman"/>
                <w:sz w:val="20"/>
                <w:szCs w:val="20"/>
              </w:rPr>
            </w:pPr>
            <w:r w:rsidRPr="00770B0F">
              <w:rPr>
                <w:rFonts w:eastAsia="Times New Roman" w:cs="Times New Roman"/>
                <w:sz w:val="20"/>
                <w:szCs w:val="20"/>
              </w:rPr>
              <w:t>To receive a regular high school diploma, all students enrolled in a Tennessee public school during their eleventh (11th) grade year must take either the ACT or SAT.</w:t>
            </w:r>
          </w:p>
          <w:p w14:paraId="6FBB087B" w14:textId="77777777" w:rsidR="00890615" w:rsidRPr="00770B0F" w:rsidRDefault="00890615">
            <w:pPr>
              <w:rPr>
                <w:rFonts w:eastAsia="Times New Roman" w:cs="Times New Roman"/>
                <w:sz w:val="20"/>
                <w:szCs w:val="20"/>
              </w:rPr>
            </w:pPr>
          </w:p>
          <w:p w14:paraId="51C5222B" w14:textId="77777777" w:rsidR="00DC767D" w:rsidRDefault="00890615">
            <w:pPr>
              <w:rPr>
                <w:rFonts w:eastAsia="Times New Roman" w:cs="Times New Roman"/>
                <w:sz w:val="20"/>
                <w:szCs w:val="20"/>
              </w:rPr>
            </w:pPr>
            <w:r w:rsidRPr="00770B0F">
              <w:rPr>
                <w:rFonts w:eastAsia="Times New Roman" w:cs="Times New Roman"/>
                <w:sz w:val="20"/>
                <w:szCs w:val="20"/>
              </w:rPr>
              <w:t xml:space="preserve">The ACT is an achievement test that assesses students’ academic readiness for college and determines HOPE scholarship eligibility.  </w:t>
            </w:r>
          </w:p>
          <w:p w14:paraId="0C8B1423" w14:textId="65F447CD" w:rsidR="00AA18D7" w:rsidRDefault="00AA18D7">
            <w:pPr>
              <w:rPr>
                <w:rFonts w:eastAsia="Times New Roman" w:cs="Times New Roman"/>
                <w:sz w:val="20"/>
                <w:szCs w:val="20"/>
              </w:rPr>
            </w:pPr>
          </w:p>
          <w:p w14:paraId="67736BFF" w14:textId="5202FE63" w:rsidR="004B7920" w:rsidRDefault="004B7920">
            <w:pPr>
              <w:rPr>
                <w:rFonts w:eastAsia="Times New Roman" w:cs="Times New Roman"/>
                <w:sz w:val="20"/>
                <w:szCs w:val="20"/>
              </w:rPr>
            </w:pPr>
          </w:p>
          <w:p w14:paraId="57E5F341" w14:textId="77777777" w:rsidR="004B7920" w:rsidRDefault="004B7920">
            <w:pPr>
              <w:rPr>
                <w:rFonts w:eastAsia="Times New Roman" w:cs="Times New Roman"/>
                <w:sz w:val="20"/>
                <w:szCs w:val="20"/>
              </w:rPr>
            </w:pPr>
          </w:p>
          <w:p w14:paraId="6A0ADAC7" w14:textId="4B8A1D19" w:rsidR="004B7920" w:rsidRPr="00770B0F" w:rsidRDefault="004B7920">
            <w:pPr>
              <w:rPr>
                <w:rFonts w:eastAsia="Times New Roman" w:cs="Times New Roman"/>
                <w:sz w:val="20"/>
                <w:szCs w:val="20"/>
              </w:rPr>
            </w:pPr>
          </w:p>
        </w:tc>
        <w:tc>
          <w:tcPr>
            <w:tcW w:w="1080" w:type="dxa"/>
            <w:shd w:val="clear" w:color="auto" w:fill="DBE5F1" w:themeFill="accent1" w:themeFillTint="33"/>
          </w:tcPr>
          <w:p w14:paraId="3D77F330" w14:textId="77777777" w:rsidR="00E25E8B" w:rsidRPr="00770B0F" w:rsidRDefault="00890615">
            <w:pPr>
              <w:rPr>
                <w:sz w:val="20"/>
                <w:szCs w:val="20"/>
              </w:rPr>
            </w:pPr>
            <w:r w:rsidRPr="00770B0F">
              <w:rPr>
                <w:sz w:val="20"/>
                <w:szCs w:val="20"/>
              </w:rPr>
              <w:t>State</w:t>
            </w:r>
          </w:p>
        </w:tc>
        <w:tc>
          <w:tcPr>
            <w:tcW w:w="3060" w:type="dxa"/>
            <w:shd w:val="clear" w:color="auto" w:fill="DBE5F1" w:themeFill="accent1" w:themeFillTint="33"/>
          </w:tcPr>
          <w:p w14:paraId="3DB94BAF" w14:textId="77777777" w:rsidR="00E25E8B" w:rsidRPr="00770B0F" w:rsidRDefault="00890615">
            <w:pPr>
              <w:rPr>
                <w:sz w:val="20"/>
                <w:szCs w:val="20"/>
              </w:rPr>
            </w:pPr>
            <w:r w:rsidRPr="00770B0F">
              <w:rPr>
                <w:sz w:val="20"/>
                <w:szCs w:val="20"/>
              </w:rPr>
              <w:t xml:space="preserve">Scores and other information from this  assessment are available 4 – 6 weeks after testing. </w:t>
            </w:r>
          </w:p>
          <w:p w14:paraId="08994AD9" w14:textId="77777777" w:rsidR="00890615" w:rsidRPr="00770B0F" w:rsidRDefault="00890615">
            <w:pPr>
              <w:rPr>
                <w:sz w:val="20"/>
                <w:szCs w:val="20"/>
              </w:rPr>
            </w:pPr>
          </w:p>
          <w:p w14:paraId="7BD92B3D" w14:textId="77777777" w:rsidR="00890615" w:rsidRPr="00770B0F" w:rsidRDefault="00890615">
            <w:pPr>
              <w:rPr>
                <w:sz w:val="20"/>
                <w:szCs w:val="20"/>
              </w:rPr>
            </w:pPr>
            <w:r w:rsidRPr="00770B0F">
              <w:rPr>
                <w:sz w:val="20"/>
                <w:szCs w:val="20"/>
              </w:rPr>
              <w:t xml:space="preserve">Results are not used for grades.  </w:t>
            </w:r>
          </w:p>
        </w:tc>
      </w:tr>
      <w:tr w:rsidR="00DD6734" w14:paraId="5E35A356" w14:textId="77777777" w:rsidTr="00EF3002">
        <w:tc>
          <w:tcPr>
            <w:tcW w:w="1980" w:type="dxa"/>
            <w:shd w:val="clear" w:color="auto" w:fill="95B3D7" w:themeFill="accent1" w:themeFillTint="99"/>
          </w:tcPr>
          <w:p w14:paraId="61D10330" w14:textId="67BD3EEF" w:rsidR="00E25E8B" w:rsidRPr="00770B0F" w:rsidRDefault="00890615">
            <w:pPr>
              <w:rPr>
                <w:sz w:val="20"/>
                <w:szCs w:val="20"/>
              </w:rPr>
            </w:pPr>
            <w:r w:rsidRPr="00770B0F">
              <w:rPr>
                <w:sz w:val="20"/>
                <w:szCs w:val="20"/>
              </w:rPr>
              <w:t xml:space="preserve">ACT </w:t>
            </w:r>
          </w:p>
          <w:p w14:paraId="2A7444F8" w14:textId="77777777" w:rsidR="00890615" w:rsidRPr="00770B0F" w:rsidRDefault="00890615">
            <w:pPr>
              <w:rPr>
                <w:sz w:val="20"/>
                <w:szCs w:val="20"/>
              </w:rPr>
            </w:pPr>
            <w:r w:rsidRPr="00770B0F">
              <w:rPr>
                <w:sz w:val="20"/>
                <w:szCs w:val="20"/>
              </w:rPr>
              <w:t>(Retake for Seniors)</w:t>
            </w:r>
          </w:p>
        </w:tc>
        <w:tc>
          <w:tcPr>
            <w:tcW w:w="1620" w:type="dxa"/>
            <w:shd w:val="clear" w:color="auto" w:fill="95B3D7" w:themeFill="accent1" w:themeFillTint="99"/>
          </w:tcPr>
          <w:p w14:paraId="4986B396" w14:textId="77777777" w:rsidR="00E25E8B" w:rsidRPr="00770B0F" w:rsidRDefault="00890615">
            <w:pPr>
              <w:rPr>
                <w:sz w:val="20"/>
                <w:szCs w:val="20"/>
              </w:rPr>
            </w:pPr>
            <w:r w:rsidRPr="00770B0F">
              <w:rPr>
                <w:sz w:val="20"/>
                <w:szCs w:val="20"/>
              </w:rPr>
              <w:t>Grade 12</w:t>
            </w:r>
          </w:p>
          <w:p w14:paraId="4FA464FF" w14:textId="77777777" w:rsidR="00890615" w:rsidRPr="00770B0F" w:rsidRDefault="00890615">
            <w:pPr>
              <w:rPr>
                <w:sz w:val="20"/>
                <w:szCs w:val="20"/>
              </w:rPr>
            </w:pPr>
            <w:r w:rsidRPr="00770B0F">
              <w:rPr>
                <w:sz w:val="20"/>
                <w:szCs w:val="20"/>
              </w:rPr>
              <w:t>(Participation is limited to Seniors who took the ACT as a Junior last year.)</w:t>
            </w:r>
          </w:p>
        </w:tc>
        <w:tc>
          <w:tcPr>
            <w:tcW w:w="1530" w:type="dxa"/>
            <w:shd w:val="clear" w:color="auto" w:fill="95B3D7" w:themeFill="accent1" w:themeFillTint="99"/>
          </w:tcPr>
          <w:p w14:paraId="7209C80E" w14:textId="19D1CBC8" w:rsidR="00E25E8B" w:rsidRDefault="00C26B70">
            <w:pPr>
              <w:rPr>
                <w:sz w:val="20"/>
                <w:szCs w:val="20"/>
              </w:rPr>
            </w:pPr>
            <w:r>
              <w:rPr>
                <w:sz w:val="20"/>
                <w:szCs w:val="20"/>
              </w:rPr>
              <w:t>Oct 5</w:t>
            </w:r>
          </w:p>
          <w:p w14:paraId="722BA667" w14:textId="0F9BBF32" w:rsidR="00C96F75" w:rsidRDefault="00C96F75">
            <w:pPr>
              <w:rPr>
                <w:sz w:val="20"/>
                <w:szCs w:val="20"/>
              </w:rPr>
            </w:pPr>
          </w:p>
          <w:p w14:paraId="6502ABB7" w14:textId="531AFEF4" w:rsidR="00C96F75" w:rsidRDefault="00C96F75">
            <w:pPr>
              <w:rPr>
                <w:sz w:val="20"/>
                <w:szCs w:val="20"/>
              </w:rPr>
            </w:pPr>
            <w:r>
              <w:rPr>
                <w:sz w:val="20"/>
                <w:szCs w:val="20"/>
              </w:rPr>
              <w:t xml:space="preserve">Make-up Oct </w:t>
            </w:r>
            <w:r w:rsidR="00C26B70">
              <w:rPr>
                <w:sz w:val="20"/>
                <w:szCs w:val="20"/>
              </w:rPr>
              <w:t>19</w:t>
            </w:r>
          </w:p>
          <w:p w14:paraId="70C36CDD" w14:textId="6E669FB5" w:rsidR="00282B5E" w:rsidRPr="00770B0F" w:rsidRDefault="00282B5E">
            <w:pPr>
              <w:rPr>
                <w:sz w:val="20"/>
                <w:szCs w:val="20"/>
              </w:rPr>
            </w:pPr>
          </w:p>
        </w:tc>
        <w:tc>
          <w:tcPr>
            <w:tcW w:w="2070" w:type="dxa"/>
            <w:shd w:val="clear" w:color="auto" w:fill="95B3D7" w:themeFill="accent1" w:themeFillTint="99"/>
          </w:tcPr>
          <w:p w14:paraId="74E4FEDA" w14:textId="77777777" w:rsidR="00DC767D" w:rsidRDefault="00890615">
            <w:pPr>
              <w:rPr>
                <w:rFonts w:eastAsia="Times New Roman" w:cs="Times New Roman"/>
                <w:sz w:val="20"/>
                <w:szCs w:val="20"/>
              </w:rPr>
            </w:pPr>
            <w:r w:rsidRPr="00770B0F">
              <w:rPr>
                <w:rFonts w:eastAsia="Times New Roman" w:cs="Times New Roman"/>
                <w:sz w:val="20"/>
                <w:szCs w:val="20"/>
              </w:rPr>
              <w:t xml:space="preserve">The ACT is an achievement test that assesses students’ academic readiness for college and determines HOPE scholarship eligibility.  </w:t>
            </w:r>
          </w:p>
          <w:p w14:paraId="1C2CFECE" w14:textId="77777777" w:rsidR="00EF3002" w:rsidRDefault="00EF3002">
            <w:pPr>
              <w:rPr>
                <w:rFonts w:eastAsia="Times New Roman" w:cs="Times New Roman"/>
                <w:sz w:val="20"/>
                <w:szCs w:val="20"/>
              </w:rPr>
            </w:pPr>
          </w:p>
          <w:p w14:paraId="0F954F4B" w14:textId="77777777" w:rsidR="00EF3002" w:rsidRDefault="00EF3002">
            <w:pPr>
              <w:rPr>
                <w:rFonts w:eastAsia="Times New Roman" w:cs="Times New Roman"/>
                <w:sz w:val="20"/>
                <w:szCs w:val="20"/>
              </w:rPr>
            </w:pPr>
          </w:p>
          <w:p w14:paraId="68762879" w14:textId="77777777" w:rsidR="004B7920" w:rsidRDefault="004B7920">
            <w:pPr>
              <w:rPr>
                <w:rFonts w:eastAsia="Times New Roman" w:cs="Times New Roman"/>
                <w:sz w:val="20"/>
                <w:szCs w:val="20"/>
              </w:rPr>
            </w:pPr>
          </w:p>
          <w:p w14:paraId="29ADDBBF" w14:textId="77777777" w:rsidR="004B7920" w:rsidRDefault="004B7920">
            <w:pPr>
              <w:rPr>
                <w:rFonts w:eastAsia="Times New Roman" w:cs="Times New Roman"/>
                <w:sz w:val="20"/>
                <w:szCs w:val="20"/>
              </w:rPr>
            </w:pPr>
          </w:p>
          <w:p w14:paraId="4C717968" w14:textId="17FB95C8" w:rsidR="004B7920" w:rsidRPr="00770B0F" w:rsidRDefault="004B7920">
            <w:pPr>
              <w:rPr>
                <w:rFonts w:eastAsia="Times New Roman" w:cs="Times New Roman"/>
                <w:sz w:val="20"/>
                <w:szCs w:val="20"/>
              </w:rPr>
            </w:pPr>
          </w:p>
        </w:tc>
        <w:tc>
          <w:tcPr>
            <w:tcW w:w="1080" w:type="dxa"/>
            <w:shd w:val="clear" w:color="auto" w:fill="95B3D7" w:themeFill="accent1" w:themeFillTint="99"/>
          </w:tcPr>
          <w:p w14:paraId="384B77E1" w14:textId="77777777" w:rsidR="00E25E8B" w:rsidRPr="00770B0F" w:rsidRDefault="00890615">
            <w:pPr>
              <w:rPr>
                <w:sz w:val="20"/>
                <w:szCs w:val="20"/>
              </w:rPr>
            </w:pPr>
            <w:r w:rsidRPr="00770B0F">
              <w:rPr>
                <w:sz w:val="20"/>
                <w:szCs w:val="20"/>
              </w:rPr>
              <w:t>State</w:t>
            </w:r>
          </w:p>
        </w:tc>
        <w:tc>
          <w:tcPr>
            <w:tcW w:w="3060" w:type="dxa"/>
            <w:shd w:val="clear" w:color="auto" w:fill="95B3D7" w:themeFill="accent1" w:themeFillTint="99"/>
          </w:tcPr>
          <w:p w14:paraId="4242B832" w14:textId="77777777" w:rsidR="00890615" w:rsidRPr="00770B0F" w:rsidRDefault="00890615" w:rsidP="00890615">
            <w:pPr>
              <w:rPr>
                <w:sz w:val="20"/>
                <w:szCs w:val="20"/>
              </w:rPr>
            </w:pPr>
            <w:r w:rsidRPr="00770B0F">
              <w:rPr>
                <w:sz w:val="20"/>
                <w:szCs w:val="20"/>
              </w:rPr>
              <w:t xml:space="preserve">Scores and other information from this  assessment are available 4 – 6 weeks after testing. </w:t>
            </w:r>
          </w:p>
          <w:p w14:paraId="14A13E9E" w14:textId="77777777" w:rsidR="00890615" w:rsidRPr="00770B0F" w:rsidRDefault="00890615" w:rsidP="00890615">
            <w:pPr>
              <w:rPr>
                <w:sz w:val="20"/>
                <w:szCs w:val="20"/>
              </w:rPr>
            </w:pPr>
          </w:p>
          <w:p w14:paraId="08EBEED2" w14:textId="77777777" w:rsidR="00E25E8B" w:rsidRPr="00770B0F" w:rsidRDefault="00890615" w:rsidP="00890615">
            <w:pPr>
              <w:rPr>
                <w:sz w:val="20"/>
                <w:szCs w:val="20"/>
              </w:rPr>
            </w:pPr>
            <w:r w:rsidRPr="00770B0F">
              <w:rPr>
                <w:sz w:val="20"/>
                <w:szCs w:val="20"/>
              </w:rPr>
              <w:t xml:space="preserve">Results are not used for grades.  </w:t>
            </w:r>
          </w:p>
        </w:tc>
      </w:tr>
      <w:tr w:rsidR="00DD6734" w14:paraId="3E1C3389" w14:textId="77777777" w:rsidTr="00EF3002">
        <w:tc>
          <w:tcPr>
            <w:tcW w:w="1980" w:type="dxa"/>
            <w:shd w:val="clear" w:color="auto" w:fill="DBE5F1" w:themeFill="accent1" w:themeFillTint="33"/>
          </w:tcPr>
          <w:p w14:paraId="4AC80B29" w14:textId="77777777" w:rsidR="00E25E8B" w:rsidRPr="00770B0F" w:rsidRDefault="00890615">
            <w:pPr>
              <w:rPr>
                <w:sz w:val="20"/>
                <w:szCs w:val="20"/>
              </w:rPr>
            </w:pPr>
            <w:r w:rsidRPr="00770B0F">
              <w:rPr>
                <w:sz w:val="20"/>
                <w:szCs w:val="20"/>
              </w:rPr>
              <w:lastRenderedPageBreak/>
              <w:t>ASVAB</w:t>
            </w:r>
          </w:p>
        </w:tc>
        <w:tc>
          <w:tcPr>
            <w:tcW w:w="1620" w:type="dxa"/>
            <w:shd w:val="clear" w:color="auto" w:fill="DBE5F1" w:themeFill="accent1" w:themeFillTint="33"/>
          </w:tcPr>
          <w:p w14:paraId="7760F377" w14:textId="77777777" w:rsidR="00E25E8B" w:rsidRPr="00770B0F" w:rsidRDefault="00890615">
            <w:pPr>
              <w:rPr>
                <w:sz w:val="20"/>
                <w:szCs w:val="20"/>
              </w:rPr>
            </w:pPr>
            <w:r w:rsidRPr="00770B0F">
              <w:rPr>
                <w:sz w:val="20"/>
                <w:szCs w:val="20"/>
              </w:rPr>
              <w:t>Open to any Bledsoe County High School Student</w:t>
            </w:r>
          </w:p>
        </w:tc>
        <w:tc>
          <w:tcPr>
            <w:tcW w:w="1530" w:type="dxa"/>
            <w:shd w:val="clear" w:color="auto" w:fill="DBE5F1" w:themeFill="accent1" w:themeFillTint="33"/>
          </w:tcPr>
          <w:p w14:paraId="5D6918AF" w14:textId="2408AA2F" w:rsidR="00E25E8B" w:rsidRPr="00770B0F" w:rsidRDefault="00890615">
            <w:pPr>
              <w:rPr>
                <w:sz w:val="20"/>
                <w:szCs w:val="20"/>
              </w:rPr>
            </w:pPr>
            <w:r w:rsidRPr="00770B0F">
              <w:rPr>
                <w:sz w:val="20"/>
                <w:szCs w:val="20"/>
              </w:rPr>
              <w:t>Fall 2</w:t>
            </w:r>
            <w:r w:rsidR="00C26B70">
              <w:rPr>
                <w:sz w:val="20"/>
                <w:szCs w:val="20"/>
              </w:rPr>
              <w:t>022</w:t>
            </w:r>
            <w:bookmarkStart w:id="0" w:name="_GoBack"/>
            <w:bookmarkEnd w:id="0"/>
          </w:p>
          <w:p w14:paraId="23E4E68A" w14:textId="77777777" w:rsidR="00890615" w:rsidRPr="00770B0F" w:rsidRDefault="00890615">
            <w:pPr>
              <w:rPr>
                <w:sz w:val="20"/>
                <w:szCs w:val="20"/>
              </w:rPr>
            </w:pPr>
            <w:r w:rsidRPr="00770B0F">
              <w:rPr>
                <w:sz w:val="20"/>
                <w:szCs w:val="20"/>
              </w:rPr>
              <w:t>TBA</w:t>
            </w:r>
          </w:p>
        </w:tc>
        <w:tc>
          <w:tcPr>
            <w:tcW w:w="2070" w:type="dxa"/>
            <w:shd w:val="clear" w:color="auto" w:fill="DBE5F1" w:themeFill="accent1" w:themeFillTint="33"/>
          </w:tcPr>
          <w:p w14:paraId="1F6D045E" w14:textId="77777777" w:rsidR="00E25E8B" w:rsidRPr="00770B0F" w:rsidRDefault="00890615">
            <w:pPr>
              <w:rPr>
                <w:sz w:val="20"/>
                <w:szCs w:val="20"/>
              </w:rPr>
            </w:pPr>
            <w:r w:rsidRPr="00770B0F">
              <w:rPr>
                <w:sz w:val="20"/>
                <w:szCs w:val="20"/>
              </w:rPr>
              <w:t>The ASVAB is a multiple-aptitude battery that measures developed abilities and helps predict future academic success in the military.</w:t>
            </w:r>
          </w:p>
        </w:tc>
        <w:tc>
          <w:tcPr>
            <w:tcW w:w="1080" w:type="dxa"/>
            <w:shd w:val="clear" w:color="auto" w:fill="DBE5F1" w:themeFill="accent1" w:themeFillTint="33"/>
          </w:tcPr>
          <w:p w14:paraId="344D4186" w14:textId="77777777" w:rsidR="00E25E8B" w:rsidRPr="00770B0F" w:rsidRDefault="00A4206B">
            <w:pPr>
              <w:rPr>
                <w:sz w:val="20"/>
                <w:szCs w:val="20"/>
              </w:rPr>
            </w:pPr>
            <w:r w:rsidRPr="00770B0F">
              <w:rPr>
                <w:sz w:val="20"/>
                <w:szCs w:val="20"/>
              </w:rPr>
              <w:t>District - Optional for any HS student</w:t>
            </w:r>
          </w:p>
        </w:tc>
        <w:tc>
          <w:tcPr>
            <w:tcW w:w="3060" w:type="dxa"/>
            <w:shd w:val="clear" w:color="auto" w:fill="DBE5F1" w:themeFill="accent1" w:themeFillTint="33"/>
          </w:tcPr>
          <w:p w14:paraId="12D76E13" w14:textId="77777777" w:rsidR="00E25E8B" w:rsidRPr="00770B0F" w:rsidRDefault="00A4206B">
            <w:pPr>
              <w:rPr>
                <w:sz w:val="20"/>
                <w:szCs w:val="20"/>
              </w:rPr>
            </w:pPr>
            <w:r w:rsidRPr="00770B0F">
              <w:rPr>
                <w:sz w:val="20"/>
                <w:szCs w:val="20"/>
              </w:rPr>
              <w:t xml:space="preserve">Students/Parents are given reports and scores are used to determine if he/she qualifies to join the military service.  </w:t>
            </w:r>
          </w:p>
          <w:p w14:paraId="6DA691D0" w14:textId="77777777" w:rsidR="00A4206B" w:rsidRPr="00770B0F" w:rsidRDefault="00A4206B">
            <w:pPr>
              <w:rPr>
                <w:sz w:val="20"/>
                <w:szCs w:val="20"/>
              </w:rPr>
            </w:pPr>
          </w:p>
          <w:p w14:paraId="0170B45D" w14:textId="0DD3E9CF" w:rsidR="00DC767D" w:rsidRDefault="00A4206B">
            <w:pPr>
              <w:rPr>
                <w:sz w:val="20"/>
                <w:szCs w:val="20"/>
              </w:rPr>
            </w:pPr>
            <w:r w:rsidRPr="00770B0F">
              <w:rPr>
                <w:sz w:val="20"/>
                <w:szCs w:val="20"/>
              </w:rPr>
              <w:t xml:space="preserve">Each branch of service determines the qualification AFQT score for enlisting in their branch. </w:t>
            </w:r>
          </w:p>
          <w:p w14:paraId="15BD5F40" w14:textId="1CFBE4CE" w:rsidR="004B7920" w:rsidRDefault="004B7920">
            <w:pPr>
              <w:rPr>
                <w:sz w:val="20"/>
                <w:szCs w:val="20"/>
              </w:rPr>
            </w:pPr>
          </w:p>
          <w:p w14:paraId="0685826A" w14:textId="2BB1F5E8" w:rsidR="004B7920" w:rsidRDefault="004B7920">
            <w:pPr>
              <w:rPr>
                <w:sz w:val="20"/>
                <w:szCs w:val="20"/>
              </w:rPr>
            </w:pPr>
          </w:p>
          <w:p w14:paraId="65339155" w14:textId="065B51BC" w:rsidR="004B7920" w:rsidRDefault="004B7920">
            <w:pPr>
              <w:rPr>
                <w:sz w:val="20"/>
                <w:szCs w:val="20"/>
              </w:rPr>
            </w:pPr>
          </w:p>
          <w:p w14:paraId="785B4354" w14:textId="77777777" w:rsidR="004B7920" w:rsidRDefault="004B7920">
            <w:pPr>
              <w:rPr>
                <w:sz w:val="20"/>
                <w:szCs w:val="20"/>
              </w:rPr>
            </w:pPr>
          </w:p>
          <w:p w14:paraId="2979BB89" w14:textId="7E2BD7D9" w:rsidR="00AA18D7" w:rsidRPr="00770B0F" w:rsidRDefault="00AA18D7">
            <w:pPr>
              <w:rPr>
                <w:sz w:val="20"/>
                <w:szCs w:val="20"/>
              </w:rPr>
            </w:pPr>
          </w:p>
        </w:tc>
      </w:tr>
      <w:tr w:rsidR="00DD6734" w14:paraId="5DA7FA29" w14:textId="77777777" w:rsidTr="00EF3002">
        <w:tc>
          <w:tcPr>
            <w:tcW w:w="1980" w:type="dxa"/>
            <w:shd w:val="clear" w:color="auto" w:fill="95B3D7" w:themeFill="accent1" w:themeFillTint="99"/>
          </w:tcPr>
          <w:p w14:paraId="5AF1F485" w14:textId="77777777" w:rsidR="00E25E8B" w:rsidRPr="00770B0F" w:rsidRDefault="00A4206B">
            <w:pPr>
              <w:rPr>
                <w:sz w:val="20"/>
                <w:szCs w:val="20"/>
              </w:rPr>
            </w:pPr>
            <w:r w:rsidRPr="00770B0F">
              <w:rPr>
                <w:sz w:val="20"/>
                <w:szCs w:val="20"/>
              </w:rPr>
              <w:t>NAEP</w:t>
            </w:r>
          </w:p>
          <w:p w14:paraId="0F3E85C9" w14:textId="77777777" w:rsidR="00A4206B" w:rsidRPr="00770B0F" w:rsidRDefault="00A4206B">
            <w:pPr>
              <w:rPr>
                <w:sz w:val="20"/>
                <w:szCs w:val="20"/>
              </w:rPr>
            </w:pPr>
            <w:r w:rsidRPr="00770B0F">
              <w:rPr>
                <w:sz w:val="20"/>
                <w:szCs w:val="20"/>
              </w:rPr>
              <w:t>(National Assessment of Educational Progress)</w:t>
            </w:r>
          </w:p>
        </w:tc>
        <w:tc>
          <w:tcPr>
            <w:tcW w:w="1620" w:type="dxa"/>
            <w:shd w:val="clear" w:color="auto" w:fill="95B3D7" w:themeFill="accent1" w:themeFillTint="99"/>
          </w:tcPr>
          <w:p w14:paraId="6C9F1FF9" w14:textId="6124A1D3" w:rsidR="00E25E8B" w:rsidRPr="00770B0F" w:rsidRDefault="00F33FC8">
            <w:pPr>
              <w:rPr>
                <w:sz w:val="20"/>
                <w:szCs w:val="20"/>
              </w:rPr>
            </w:pPr>
            <w:r>
              <w:rPr>
                <w:sz w:val="20"/>
                <w:szCs w:val="20"/>
              </w:rPr>
              <w:t>4</w:t>
            </w:r>
            <w:r w:rsidRPr="00F33FC8">
              <w:rPr>
                <w:sz w:val="20"/>
                <w:szCs w:val="20"/>
                <w:vertAlign w:val="superscript"/>
              </w:rPr>
              <w:t>th</w:t>
            </w:r>
            <w:r>
              <w:rPr>
                <w:sz w:val="20"/>
                <w:szCs w:val="20"/>
              </w:rPr>
              <w:t xml:space="preserve"> &amp; </w:t>
            </w:r>
            <w:r w:rsidR="00A4206B" w:rsidRPr="00770B0F">
              <w:rPr>
                <w:sz w:val="20"/>
                <w:szCs w:val="20"/>
              </w:rPr>
              <w:t>8</w:t>
            </w:r>
            <w:r w:rsidR="00A4206B" w:rsidRPr="00770B0F">
              <w:rPr>
                <w:sz w:val="20"/>
                <w:szCs w:val="20"/>
                <w:vertAlign w:val="superscript"/>
              </w:rPr>
              <w:t>th</w:t>
            </w:r>
            <w:r w:rsidR="00A4206B" w:rsidRPr="00770B0F">
              <w:rPr>
                <w:sz w:val="20"/>
                <w:szCs w:val="20"/>
              </w:rPr>
              <w:t xml:space="preserve"> grade math/reading</w:t>
            </w:r>
          </w:p>
          <w:p w14:paraId="2F9A76E3" w14:textId="77777777" w:rsidR="00A4206B" w:rsidRPr="00770B0F" w:rsidRDefault="00A4206B">
            <w:pPr>
              <w:rPr>
                <w:sz w:val="20"/>
                <w:szCs w:val="20"/>
              </w:rPr>
            </w:pPr>
          </w:p>
          <w:p w14:paraId="53CFBDCD" w14:textId="77777777" w:rsidR="00A4206B" w:rsidRPr="00770B0F" w:rsidRDefault="00A4206B">
            <w:pPr>
              <w:rPr>
                <w:sz w:val="20"/>
                <w:szCs w:val="20"/>
              </w:rPr>
            </w:pPr>
            <w:r w:rsidRPr="00770B0F">
              <w:rPr>
                <w:sz w:val="20"/>
                <w:szCs w:val="20"/>
              </w:rPr>
              <w:t>(only selected students in grades 4 and 8)</w:t>
            </w:r>
          </w:p>
        </w:tc>
        <w:tc>
          <w:tcPr>
            <w:tcW w:w="1530" w:type="dxa"/>
            <w:shd w:val="clear" w:color="auto" w:fill="95B3D7" w:themeFill="accent1" w:themeFillTint="99"/>
          </w:tcPr>
          <w:p w14:paraId="63B14B6B" w14:textId="30EC57DF" w:rsidR="00E25E8B" w:rsidRPr="00770B0F" w:rsidRDefault="00DA534E">
            <w:pPr>
              <w:rPr>
                <w:sz w:val="20"/>
                <w:szCs w:val="20"/>
              </w:rPr>
            </w:pPr>
            <w:r>
              <w:rPr>
                <w:sz w:val="20"/>
                <w:szCs w:val="20"/>
              </w:rPr>
              <w:t xml:space="preserve">January </w:t>
            </w:r>
            <w:r w:rsidR="00C26B70">
              <w:rPr>
                <w:sz w:val="20"/>
                <w:szCs w:val="20"/>
              </w:rPr>
              <w:t>24</w:t>
            </w:r>
            <w:r w:rsidR="00A4206B" w:rsidRPr="00770B0F">
              <w:rPr>
                <w:sz w:val="20"/>
                <w:szCs w:val="20"/>
              </w:rPr>
              <w:t xml:space="preserve"> – March </w:t>
            </w:r>
            <w:r w:rsidR="00282B5E">
              <w:rPr>
                <w:sz w:val="20"/>
                <w:szCs w:val="20"/>
              </w:rPr>
              <w:t>15</w:t>
            </w:r>
            <w:r w:rsidR="00C26B70">
              <w:rPr>
                <w:sz w:val="20"/>
                <w:szCs w:val="20"/>
              </w:rPr>
              <w:t xml:space="preserve"> (tentative)</w:t>
            </w:r>
          </w:p>
        </w:tc>
        <w:tc>
          <w:tcPr>
            <w:tcW w:w="2070" w:type="dxa"/>
            <w:shd w:val="clear" w:color="auto" w:fill="95B3D7" w:themeFill="accent1" w:themeFillTint="99"/>
          </w:tcPr>
          <w:p w14:paraId="6C8E17B6" w14:textId="77777777" w:rsidR="00863210" w:rsidRDefault="00A4206B">
            <w:pPr>
              <w:rPr>
                <w:rFonts w:eastAsia="Times New Roman" w:cs="Times New Roman"/>
                <w:sz w:val="20"/>
                <w:szCs w:val="20"/>
              </w:rPr>
            </w:pPr>
            <w:r w:rsidRPr="00770B0F">
              <w:rPr>
                <w:rFonts w:eastAsia="Times New Roman" w:cs="Times New Roman"/>
                <w:sz w:val="20"/>
                <w:szCs w:val="20"/>
              </w:rPr>
              <w:t>NAEP results serve as a common metric for all states and selected urban districts. The assessment stays essentially the same from year to year, providing a clear picture of student academic progress over time.</w:t>
            </w:r>
          </w:p>
          <w:p w14:paraId="5FF00EAF" w14:textId="77777777" w:rsidR="00AA18D7" w:rsidRDefault="00AA18D7">
            <w:pPr>
              <w:rPr>
                <w:rFonts w:eastAsia="Times New Roman" w:cs="Times New Roman"/>
                <w:sz w:val="20"/>
                <w:szCs w:val="20"/>
              </w:rPr>
            </w:pPr>
          </w:p>
          <w:p w14:paraId="47028162" w14:textId="77777777" w:rsidR="004B7920" w:rsidRDefault="004B7920">
            <w:pPr>
              <w:rPr>
                <w:rFonts w:eastAsia="Times New Roman" w:cs="Times New Roman"/>
                <w:sz w:val="20"/>
                <w:szCs w:val="20"/>
              </w:rPr>
            </w:pPr>
          </w:p>
          <w:p w14:paraId="64F07FFA" w14:textId="77777777" w:rsidR="004B7920" w:rsidRDefault="004B7920">
            <w:pPr>
              <w:rPr>
                <w:rFonts w:eastAsia="Times New Roman" w:cs="Times New Roman"/>
                <w:sz w:val="20"/>
                <w:szCs w:val="20"/>
              </w:rPr>
            </w:pPr>
          </w:p>
          <w:p w14:paraId="42716E97" w14:textId="77777777" w:rsidR="004B7920" w:rsidRDefault="004B7920">
            <w:pPr>
              <w:rPr>
                <w:rFonts w:eastAsia="Times New Roman" w:cs="Times New Roman"/>
                <w:sz w:val="20"/>
                <w:szCs w:val="20"/>
              </w:rPr>
            </w:pPr>
          </w:p>
          <w:p w14:paraId="23A741EE" w14:textId="68669510" w:rsidR="004B7920" w:rsidRPr="00770B0F" w:rsidRDefault="004B7920">
            <w:pPr>
              <w:rPr>
                <w:rFonts w:eastAsia="Times New Roman" w:cs="Times New Roman"/>
                <w:sz w:val="20"/>
                <w:szCs w:val="20"/>
              </w:rPr>
            </w:pPr>
          </w:p>
        </w:tc>
        <w:tc>
          <w:tcPr>
            <w:tcW w:w="1080" w:type="dxa"/>
            <w:shd w:val="clear" w:color="auto" w:fill="95B3D7" w:themeFill="accent1" w:themeFillTint="99"/>
          </w:tcPr>
          <w:p w14:paraId="62991D2D" w14:textId="77777777" w:rsidR="00E25E8B" w:rsidRPr="00770B0F" w:rsidRDefault="00A4206B">
            <w:pPr>
              <w:rPr>
                <w:sz w:val="20"/>
                <w:szCs w:val="20"/>
              </w:rPr>
            </w:pPr>
            <w:r w:rsidRPr="00770B0F">
              <w:rPr>
                <w:sz w:val="20"/>
                <w:szCs w:val="20"/>
              </w:rPr>
              <w:t>National</w:t>
            </w:r>
          </w:p>
        </w:tc>
        <w:tc>
          <w:tcPr>
            <w:tcW w:w="3060" w:type="dxa"/>
            <w:shd w:val="clear" w:color="auto" w:fill="95B3D7" w:themeFill="accent1" w:themeFillTint="99"/>
          </w:tcPr>
          <w:p w14:paraId="27013FC2" w14:textId="77777777" w:rsidR="00E25E8B" w:rsidRPr="00770B0F" w:rsidRDefault="00A4206B">
            <w:pPr>
              <w:rPr>
                <w:rFonts w:eastAsia="Times New Roman" w:cs="Times New Roman"/>
                <w:sz w:val="20"/>
                <w:szCs w:val="20"/>
              </w:rPr>
            </w:pPr>
            <w:r w:rsidRPr="00770B0F">
              <w:rPr>
                <w:rFonts w:eastAsia="Times New Roman" w:cs="Times New Roman"/>
                <w:sz w:val="20"/>
                <w:szCs w:val="20"/>
              </w:rPr>
              <w:t>The results of the assessment will be posted to The Nation’s Report Card</w:t>
            </w:r>
          </w:p>
          <w:p w14:paraId="75F7CB57" w14:textId="77777777" w:rsidR="00A4206B" w:rsidRPr="00770B0F" w:rsidRDefault="00A4206B">
            <w:pPr>
              <w:rPr>
                <w:rFonts w:eastAsia="Times New Roman" w:cs="Times New Roman"/>
                <w:sz w:val="20"/>
                <w:szCs w:val="20"/>
              </w:rPr>
            </w:pPr>
          </w:p>
          <w:p w14:paraId="3E40CEF4" w14:textId="59632471" w:rsidR="00A4206B" w:rsidRPr="00770B0F" w:rsidRDefault="00A4206B">
            <w:pPr>
              <w:rPr>
                <w:rFonts w:eastAsia="Times New Roman" w:cs="Times New Roman"/>
                <w:sz w:val="20"/>
                <w:szCs w:val="20"/>
              </w:rPr>
            </w:pPr>
            <w:r w:rsidRPr="00770B0F">
              <w:rPr>
                <w:rFonts w:eastAsia="Times New Roman" w:cs="Times New Roman"/>
                <w:sz w:val="20"/>
                <w:szCs w:val="20"/>
              </w:rPr>
              <w:t>Tennessee will rec</w:t>
            </w:r>
            <w:r w:rsidR="00F33FC8">
              <w:rPr>
                <w:rFonts w:eastAsia="Times New Roman" w:cs="Times New Roman"/>
                <w:sz w:val="20"/>
                <w:szCs w:val="20"/>
              </w:rPr>
              <w:t>eive state results.</w:t>
            </w:r>
          </w:p>
          <w:p w14:paraId="57503457" w14:textId="77777777" w:rsidR="00A4206B" w:rsidRPr="00770B0F" w:rsidRDefault="00A4206B">
            <w:pPr>
              <w:rPr>
                <w:sz w:val="20"/>
                <w:szCs w:val="20"/>
              </w:rPr>
            </w:pPr>
          </w:p>
          <w:p w14:paraId="3AF4D54F" w14:textId="77777777" w:rsidR="00A4206B" w:rsidRPr="00770B0F" w:rsidRDefault="00A4206B">
            <w:pPr>
              <w:rPr>
                <w:sz w:val="20"/>
                <w:szCs w:val="20"/>
              </w:rPr>
            </w:pPr>
            <w:r w:rsidRPr="00770B0F">
              <w:rPr>
                <w:sz w:val="20"/>
                <w:szCs w:val="20"/>
              </w:rPr>
              <w:t>Districts do not receive any district/individual results.</w:t>
            </w:r>
          </w:p>
        </w:tc>
      </w:tr>
      <w:tr w:rsidR="00DD6734" w14:paraId="00E4DF50" w14:textId="77777777" w:rsidTr="00EF3002">
        <w:tc>
          <w:tcPr>
            <w:tcW w:w="1980" w:type="dxa"/>
            <w:shd w:val="clear" w:color="auto" w:fill="DBE5F1" w:themeFill="accent1" w:themeFillTint="33"/>
          </w:tcPr>
          <w:p w14:paraId="1034D528" w14:textId="77777777" w:rsidR="00E25E8B" w:rsidRPr="00770B0F" w:rsidRDefault="00A4206B">
            <w:pPr>
              <w:rPr>
                <w:sz w:val="20"/>
                <w:szCs w:val="20"/>
              </w:rPr>
            </w:pPr>
            <w:r w:rsidRPr="00770B0F">
              <w:rPr>
                <w:sz w:val="20"/>
                <w:szCs w:val="20"/>
              </w:rPr>
              <w:t>TCAP/Alternate Assessment Science and Social Studies &amp; MSAA ELA/Math</w:t>
            </w:r>
            <w:r w:rsidR="00AF395D" w:rsidRPr="00770B0F">
              <w:rPr>
                <w:sz w:val="20"/>
                <w:szCs w:val="20"/>
              </w:rPr>
              <w:t xml:space="preserve"> &amp; 2</w:t>
            </w:r>
            <w:r w:rsidR="00AF395D" w:rsidRPr="00770B0F">
              <w:rPr>
                <w:sz w:val="20"/>
                <w:szCs w:val="20"/>
                <w:vertAlign w:val="superscript"/>
              </w:rPr>
              <w:t>nd</w:t>
            </w:r>
            <w:r w:rsidR="00AF395D" w:rsidRPr="00770B0F">
              <w:rPr>
                <w:sz w:val="20"/>
                <w:szCs w:val="20"/>
              </w:rPr>
              <w:t xml:space="preserve"> Grade Alternate Assessment</w:t>
            </w:r>
            <w:r w:rsidRPr="00770B0F">
              <w:rPr>
                <w:sz w:val="20"/>
                <w:szCs w:val="20"/>
              </w:rPr>
              <w:t xml:space="preserve"> </w:t>
            </w:r>
          </w:p>
        </w:tc>
        <w:tc>
          <w:tcPr>
            <w:tcW w:w="1620" w:type="dxa"/>
            <w:shd w:val="clear" w:color="auto" w:fill="DBE5F1" w:themeFill="accent1" w:themeFillTint="33"/>
          </w:tcPr>
          <w:p w14:paraId="55E22656" w14:textId="77777777" w:rsidR="00E25E8B" w:rsidRPr="00770B0F" w:rsidRDefault="00607F31">
            <w:pPr>
              <w:rPr>
                <w:sz w:val="20"/>
                <w:szCs w:val="20"/>
              </w:rPr>
            </w:pPr>
            <w:r w:rsidRPr="00770B0F">
              <w:rPr>
                <w:sz w:val="20"/>
                <w:szCs w:val="20"/>
              </w:rPr>
              <w:t>Grades 2 – 11</w:t>
            </w:r>
          </w:p>
          <w:p w14:paraId="5FE5A408" w14:textId="77777777" w:rsidR="00607F31" w:rsidRPr="00770B0F" w:rsidRDefault="00607F31">
            <w:pPr>
              <w:rPr>
                <w:sz w:val="20"/>
                <w:szCs w:val="20"/>
              </w:rPr>
            </w:pPr>
          </w:p>
          <w:p w14:paraId="07D2AB3D" w14:textId="77777777" w:rsidR="00607F31" w:rsidRPr="00770B0F" w:rsidRDefault="004E688D">
            <w:pPr>
              <w:rPr>
                <w:sz w:val="20"/>
                <w:szCs w:val="20"/>
              </w:rPr>
            </w:pPr>
            <w:r w:rsidRPr="00770B0F">
              <w:rPr>
                <w:sz w:val="20"/>
                <w:szCs w:val="20"/>
              </w:rPr>
              <w:t>(select special education stud</w:t>
            </w:r>
            <w:r w:rsidR="00607F31" w:rsidRPr="00770B0F">
              <w:rPr>
                <w:sz w:val="20"/>
                <w:szCs w:val="20"/>
              </w:rPr>
              <w:t>ents)</w:t>
            </w:r>
          </w:p>
        </w:tc>
        <w:tc>
          <w:tcPr>
            <w:tcW w:w="1530" w:type="dxa"/>
            <w:shd w:val="clear" w:color="auto" w:fill="DBE5F1" w:themeFill="accent1" w:themeFillTint="33"/>
          </w:tcPr>
          <w:p w14:paraId="37FFFEF4" w14:textId="2426B069" w:rsidR="00E25E8B" w:rsidRPr="00770B0F" w:rsidRDefault="00F33FC8">
            <w:pPr>
              <w:rPr>
                <w:sz w:val="20"/>
                <w:szCs w:val="20"/>
              </w:rPr>
            </w:pPr>
            <w:r>
              <w:rPr>
                <w:sz w:val="20"/>
                <w:szCs w:val="20"/>
              </w:rPr>
              <w:t>March 1</w:t>
            </w:r>
            <w:r w:rsidR="00C26B70">
              <w:rPr>
                <w:sz w:val="20"/>
                <w:szCs w:val="20"/>
              </w:rPr>
              <w:t>4</w:t>
            </w:r>
            <w:r w:rsidR="00607F31" w:rsidRPr="00770B0F">
              <w:rPr>
                <w:sz w:val="20"/>
                <w:szCs w:val="20"/>
              </w:rPr>
              <w:t xml:space="preserve"> – </w:t>
            </w:r>
            <w:r w:rsidR="00C96F75">
              <w:rPr>
                <w:sz w:val="20"/>
                <w:szCs w:val="20"/>
              </w:rPr>
              <w:t xml:space="preserve">April </w:t>
            </w:r>
            <w:r w:rsidR="00C26B70">
              <w:rPr>
                <w:sz w:val="20"/>
                <w:szCs w:val="20"/>
              </w:rPr>
              <w:t>29</w:t>
            </w:r>
            <w:r w:rsidR="00282B5E">
              <w:rPr>
                <w:sz w:val="20"/>
                <w:szCs w:val="20"/>
              </w:rPr>
              <w:t xml:space="preserve"> (Tentative)</w:t>
            </w:r>
          </w:p>
        </w:tc>
        <w:tc>
          <w:tcPr>
            <w:tcW w:w="2070" w:type="dxa"/>
            <w:shd w:val="clear" w:color="auto" w:fill="DBE5F1" w:themeFill="accent1" w:themeFillTint="33"/>
          </w:tcPr>
          <w:p w14:paraId="72E4AE87" w14:textId="77777777" w:rsidR="00E25E8B" w:rsidRPr="00770B0F" w:rsidRDefault="00607F31">
            <w:pPr>
              <w:rPr>
                <w:rFonts w:eastAsia="Times New Roman" w:cs="Times New Roman"/>
                <w:sz w:val="20"/>
                <w:szCs w:val="20"/>
              </w:rPr>
            </w:pPr>
            <w:r w:rsidRPr="00770B0F">
              <w:rPr>
                <w:rFonts w:eastAsia="Times New Roman" w:cs="Times New Roman"/>
                <w:sz w:val="20"/>
                <w:szCs w:val="20"/>
              </w:rPr>
              <w:t>Alternate assessments are designed for students with significant cognitive disabilities. The structures of alternate assessments are designed around the students’ physical and cognitive disabilities in a way that allows them to answer test questions and participate in the test as independently as possible.</w:t>
            </w:r>
          </w:p>
          <w:p w14:paraId="4A0873B8" w14:textId="77777777" w:rsidR="00607F31" w:rsidRPr="00770B0F" w:rsidRDefault="00607F31">
            <w:pPr>
              <w:rPr>
                <w:rFonts w:eastAsia="Times New Roman" w:cs="Times New Roman"/>
                <w:sz w:val="20"/>
                <w:szCs w:val="20"/>
              </w:rPr>
            </w:pPr>
          </w:p>
          <w:p w14:paraId="704EE244" w14:textId="77777777" w:rsidR="00863210" w:rsidRDefault="00607F31">
            <w:pPr>
              <w:rPr>
                <w:rFonts w:eastAsia="Times New Roman" w:cs="Times New Roman"/>
                <w:sz w:val="20"/>
                <w:szCs w:val="20"/>
              </w:rPr>
            </w:pPr>
            <w:r w:rsidRPr="00770B0F">
              <w:rPr>
                <w:rFonts w:eastAsia="Times New Roman" w:cs="Times New Roman"/>
                <w:sz w:val="20"/>
                <w:szCs w:val="20"/>
              </w:rPr>
              <w:t>The alternate assessment is a snapshot of performance. It is just one data point for the student’s mastery of core curriculum.</w:t>
            </w:r>
          </w:p>
          <w:p w14:paraId="08283AED" w14:textId="77777777" w:rsidR="00AA18D7" w:rsidRDefault="00AA18D7">
            <w:pPr>
              <w:rPr>
                <w:rFonts w:eastAsia="Times New Roman" w:cs="Times New Roman"/>
                <w:sz w:val="20"/>
                <w:szCs w:val="20"/>
              </w:rPr>
            </w:pPr>
          </w:p>
          <w:p w14:paraId="053552B3" w14:textId="77777777" w:rsidR="004B7920" w:rsidRDefault="004B7920">
            <w:pPr>
              <w:rPr>
                <w:rFonts w:eastAsia="Times New Roman" w:cs="Times New Roman"/>
                <w:sz w:val="20"/>
                <w:szCs w:val="20"/>
              </w:rPr>
            </w:pPr>
          </w:p>
          <w:p w14:paraId="761B1550" w14:textId="77777777" w:rsidR="004B7920" w:rsidRDefault="004B7920">
            <w:pPr>
              <w:rPr>
                <w:rFonts w:eastAsia="Times New Roman" w:cs="Times New Roman"/>
                <w:sz w:val="20"/>
                <w:szCs w:val="20"/>
              </w:rPr>
            </w:pPr>
          </w:p>
          <w:p w14:paraId="0AEE05F1" w14:textId="77777777" w:rsidR="004B7920" w:rsidRDefault="004B7920">
            <w:pPr>
              <w:rPr>
                <w:rFonts w:eastAsia="Times New Roman" w:cs="Times New Roman"/>
                <w:sz w:val="20"/>
                <w:szCs w:val="20"/>
              </w:rPr>
            </w:pPr>
          </w:p>
          <w:p w14:paraId="414C2B4B" w14:textId="080D8D2F" w:rsidR="004B7920" w:rsidRPr="00770B0F" w:rsidRDefault="004B7920">
            <w:pPr>
              <w:rPr>
                <w:rFonts w:eastAsia="Times New Roman" w:cs="Times New Roman"/>
                <w:sz w:val="20"/>
                <w:szCs w:val="20"/>
              </w:rPr>
            </w:pPr>
          </w:p>
        </w:tc>
        <w:tc>
          <w:tcPr>
            <w:tcW w:w="1080" w:type="dxa"/>
            <w:shd w:val="clear" w:color="auto" w:fill="DBE5F1" w:themeFill="accent1" w:themeFillTint="33"/>
          </w:tcPr>
          <w:p w14:paraId="2225A0BC" w14:textId="77777777" w:rsidR="00E25E8B" w:rsidRPr="00770B0F" w:rsidRDefault="00607F31">
            <w:pPr>
              <w:rPr>
                <w:sz w:val="20"/>
                <w:szCs w:val="20"/>
              </w:rPr>
            </w:pPr>
            <w:r w:rsidRPr="00770B0F">
              <w:rPr>
                <w:sz w:val="20"/>
                <w:szCs w:val="20"/>
              </w:rPr>
              <w:t>State</w:t>
            </w:r>
          </w:p>
        </w:tc>
        <w:tc>
          <w:tcPr>
            <w:tcW w:w="3060" w:type="dxa"/>
            <w:shd w:val="clear" w:color="auto" w:fill="DBE5F1" w:themeFill="accent1" w:themeFillTint="33"/>
          </w:tcPr>
          <w:p w14:paraId="18940086" w14:textId="77777777" w:rsidR="00E25E8B" w:rsidRPr="00770B0F" w:rsidRDefault="00607F31">
            <w:pPr>
              <w:rPr>
                <w:sz w:val="20"/>
                <w:szCs w:val="20"/>
              </w:rPr>
            </w:pPr>
            <w:r w:rsidRPr="00770B0F">
              <w:rPr>
                <w:sz w:val="20"/>
                <w:szCs w:val="20"/>
              </w:rPr>
              <w:t>Scores and other information from this assessment are delivered to the schools for distribution.  Results are not used for grades.</w:t>
            </w:r>
          </w:p>
        </w:tc>
      </w:tr>
      <w:tr w:rsidR="00DD6734" w14:paraId="5E6BA549" w14:textId="77777777" w:rsidTr="00EF3002">
        <w:tc>
          <w:tcPr>
            <w:tcW w:w="1980" w:type="dxa"/>
            <w:tcBorders>
              <w:bottom w:val="single" w:sz="4" w:space="0" w:color="auto"/>
            </w:tcBorders>
            <w:shd w:val="clear" w:color="auto" w:fill="95B3D7" w:themeFill="accent1" w:themeFillTint="99"/>
          </w:tcPr>
          <w:p w14:paraId="6757B03D" w14:textId="77777777" w:rsidR="00E25E8B" w:rsidRPr="00770B0F" w:rsidRDefault="0018763F">
            <w:pPr>
              <w:rPr>
                <w:sz w:val="20"/>
                <w:szCs w:val="20"/>
              </w:rPr>
            </w:pPr>
            <w:r w:rsidRPr="00770B0F">
              <w:rPr>
                <w:sz w:val="20"/>
                <w:szCs w:val="20"/>
              </w:rPr>
              <w:lastRenderedPageBreak/>
              <w:t>ACCESS for English Learners (EL)</w:t>
            </w:r>
          </w:p>
        </w:tc>
        <w:tc>
          <w:tcPr>
            <w:tcW w:w="1620" w:type="dxa"/>
            <w:tcBorders>
              <w:bottom w:val="single" w:sz="4" w:space="0" w:color="auto"/>
            </w:tcBorders>
            <w:shd w:val="clear" w:color="auto" w:fill="95B3D7" w:themeFill="accent1" w:themeFillTint="99"/>
          </w:tcPr>
          <w:p w14:paraId="2A110C7F" w14:textId="77777777" w:rsidR="0018763F" w:rsidRPr="00770B0F" w:rsidRDefault="0018763F">
            <w:pPr>
              <w:rPr>
                <w:sz w:val="20"/>
                <w:szCs w:val="20"/>
              </w:rPr>
            </w:pPr>
            <w:r w:rsidRPr="00770B0F">
              <w:rPr>
                <w:sz w:val="20"/>
                <w:szCs w:val="20"/>
              </w:rPr>
              <w:t>Grades K-12</w:t>
            </w:r>
          </w:p>
          <w:p w14:paraId="6B193E7F" w14:textId="77777777" w:rsidR="0018763F" w:rsidRPr="00770B0F" w:rsidRDefault="0018763F">
            <w:pPr>
              <w:rPr>
                <w:sz w:val="20"/>
                <w:szCs w:val="20"/>
              </w:rPr>
            </w:pPr>
            <w:r w:rsidRPr="00770B0F">
              <w:rPr>
                <w:sz w:val="20"/>
                <w:szCs w:val="20"/>
              </w:rPr>
              <w:t>(English language learner students only</w:t>
            </w:r>
            <w:r w:rsidR="00DD6734" w:rsidRPr="00770B0F">
              <w:rPr>
                <w:sz w:val="20"/>
                <w:szCs w:val="20"/>
              </w:rPr>
              <w:t>)</w:t>
            </w:r>
          </w:p>
        </w:tc>
        <w:tc>
          <w:tcPr>
            <w:tcW w:w="1530" w:type="dxa"/>
            <w:tcBorders>
              <w:bottom w:val="single" w:sz="4" w:space="0" w:color="auto"/>
            </w:tcBorders>
            <w:shd w:val="clear" w:color="auto" w:fill="95B3D7" w:themeFill="accent1" w:themeFillTint="99"/>
          </w:tcPr>
          <w:p w14:paraId="427F9096" w14:textId="747EAC2A" w:rsidR="00E25E8B" w:rsidRPr="00770B0F" w:rsidRDefault="00282B5E">
            <w:pPr>
              <w:rPr>
                <w:sz w:val="20"/>
                <w:szCs w:val="20"/>
              </w:rPr>
            </w:pPr>
            <w:r>
              <w:rPr>
                <w:sz w:val="20"/>
                <w:szCs w:val="20"/>
              </w:rPr>
              <w:t>Feb 1</w:t>
            </w:r>
            <w:r w:rsidR="00C26B70">
              <w:rPr>
                <w:sz w:val="20"/>
                <w:szCs w:val="20"/>
              </w:rPr>
              <w:t>4</w:t>
            </w:r>
            <w:r>
              <w:rPr>
                <w:sz w:val="20"/>
                <w:szCs w:val="20"/>
              </w:rPr>
              <w:t xml:space="preserve"> – </w:t>
            </w:r>
            <w:r w:rsidR="00C96F75">
              <w:rPr>
                <w:sz w:val="20"/>
                <w:szCs w:val="20"/>
              </w:rPr>
              <w:t>March 26</w:t>
            </w:r>
            <w:r w:rsidR="00F33FC8">
              <w:rPr>
                <w:sz w:val="20"/>
                <w:szCs w:val="20"/>
              </w:rPr>
              <w:t xml:space="preserve"> </w:t>
            </w:r>
          </w:p>
        </w:tc>
        <w:tc>
          <w:tcPr>
            <w:tcW w:w="2070" w:type="dxa"/>
            <w:tcBorders>
              <w:bottom w:val="single" w:sz="4" w:space="0" w:color="auto"/>
            </w:tcBorders>
            <w:shd w:val="clear" w:color="auto" w:fill="95B3D7" w:themeFill="accent1" w:themeFillTint="99"/>
          </w:tcPr>
          <w:p w14:paraId="766F08C6" w14:textId="77777777" w:rsidR="00DC767D" w:rsidRDefault="0018763F">
            <w:pPr>
              <w:rPr>
                <w:rFonts w:eastAsia="Times New Roman" w:cs="Times New Roman"/>
                <w:sz w:val="20"/>
                <w:szCs w:val="20"/>
              </w:rPr>
            </w:pPr>
            <w:r w:rsidRPr="00770B0F">
              <w:rPr>
                <w:rFonts w:eastAsia="Times New Roman" w:cs="Times New Roman"/>
                <w:sz w:val="20"/>
                <w:szCs w:val="20"/>
              </w:rPr>
              <w:t>WIDA results will help guide decisions regarding student participation in content area classrooms without program support and state academic content assessments without accommodations. This assessment will also provide districts with information to aid in evaluating the effectiveness of EL programs.</w:t>
            </w:r>
          </w:p>
          <w:p w14:paraId="0A3DD2C7" w14:textId="425C542B" w:rsidR="00AA18D7" w:rsidRPr="00770B0F" w:rsidRDefault="00AA18D7">
            <w:pPr>
              <w:rPr>
                <w:rFonts w:eastAsia="Times New Roman" w:cs="Times New Roman"/>
                <w:sz w:val="20"/>
                <w:szCs w:val="20"/>
              </w:rPr>
            </w:pPr>
          </w:p>
        </w:tc>
        <w:tc>
          <w:tcPr>
            <w:tcW w:w="1080" w:type="dxa"/>
            <w:tcBorders>
              <w:bottom w:val="single" w:sz="4" w:space="0" w:color="auto"/>
            </w:tcBorders>
            <w:shd w:val="clear" w:color="auto" w:fill="95B3D7" w:themeFill="accent1" w:themeFillTint="99"/>
          </w:tcPr>
          <w:p w14:paraId="00CBCB47" w14:textId="77777777" w:rsidR="00E25E8B" w:rsidRPr="00770B0F" w:rsidRDefault="0018763F">
            <w:pPr>
              <w:rPr>
                <w:sz w:val="20"/>
                <w:szCs w:val="20"/>
              </w:rPr>
            </w:pPr>
            <w:r w:rsidRPr="00770B0F">
              <w:rPr>
                <w:sz w:val="20"/>
                <w:szCs w:val="20"/>
              </w:rPr>
              <w:t>State</w:t>
            </w:r>
          </w:p>
        </w:tc>
        <w:tc>
          <w:tcPr>
            <w:tcW w:w="3060" w:type="dxa"/>
            <w:tcBorders>
              <w:bottom w:val="single" w:sz="4" w:space="0" w:color="auto"/>
            </w:tcBorders>
            <w:shd w:val="clear" w:color="auto" w:fill="95B3D7" w:themeFill="accent1" w:themeFillTint="99"/>
          </w:tcPr>
          <w:p w14:paraId="25421200" w14:textId="77777777" w:rsidR="0018763F" w:rsidRPr="00770B0F" w:rsidRDefault="0018763F">
            <w:pPr>
              <w:rPr>
                <w:sz w:val="20"/>
                <w:szCs w:val="20"/>
              </w:rPr>
            </w:pPr>
            <w:r w:rsidRPr="00770B0F">
              <w:rPr>
                <w:sz w:val="20"/>
                <w:szCs w:val="20"/>
              </w:rPr>
              <w:t>Score and other information from this assessment are delivered to the schools for distribution in the fall of the year</w:t>
            </w:r>
          </w:p>
          <w:p w14:paraId="72B94E1C" w14:textId="77777777" w:rsidR="0018763F" w:rsidRPr="00770B0F" w:rsidRDefault="0018763F">
            <w:pPr>
              <w:rPr>
                <w:sz w:val="20"/>
                <w:szCs w:val="20"/>
              </w:rPr>
            </w:pPr>
          </w:p>
          <w:p w14:paraId="49F671C8" w14:textId="77777777" w:rsidR="0018763F" w:rsidRPr="00770B0F" w:rsidRDefault="0018763F">
            <w:pPr>
              <w:rPr>
                <w:sz w:val="20"/>
                <w:szCs w:val="20"/>
              </w:rPr>
            </w:pPr>
            <w:r w:rsidRPr="00770B0F">
              <w:rPr>
                <w:sz w:val="20"/>
                <w:szCs w:val="20"/>
              </w:rPr>
              <w:t>Results are not used for grades</w:t>
            </w:r>
          </w:p>
          <w:p w14:paraId="0E77F394" w14:textId="77777777" w:rsidR="0018763F" w:rsidRPr="00770B0F" w:rsidRDefault="0018763F">
            <w:pPr>
              <w:rPr>
                <w:sz w:val="20"/>
                <w:szCs w:val="20"/>
              </w:rPr>
            </w:pPr>
          </w:p>
          <w:p w14:paraId="2AC83A27" w14:textId="77777777" w:rsidR="0018763F" w:rsidRPr="00770B0F" w:rsidRDefault="0018763F">
            <w:pPr>
              <w:rPr>
                <w:sz w:val="20"/>
                <w:szCs w:val="20"/>
              </w:rPr>
            </w:pPr>
            <w:r w:rsidRPr="00770B0F">
              <w:rPr>
                <w:sz w:val="20"/>
                <w:szCs w:val="20"/>
              </w:rPr>
              <w:t>Schools distribute individual reports to parents once they are received by the district/school</w:t>
            </w:r>
          </w:p>
        </w:tc>
      </w:tr>
      <w:tr w:rsidR="00DD6734" w14:paraId="5BC00BF0" w14:textId="77777777" w:rsidTr="00EF3002">
        <w:trPr>
          <w:trHeight w:val="2384"/>
        </w:trPr>
        <w:tc>
          <w:tcPr>
            <w:tcW w:w="1980" w:type="dxa"/>
            <w:tcBorders>
              <w:bottom w:val="single" w:sz="4" w:space="0" w:color="auto"/>
            </w:tcBorders>
            <w:shd w:val="clear" w:color="auto" w:fill="DBE5F1" w:themeFill="accent1" w:themeFillTint="33"/>
          </w:tcPr>
          <w:p w14:paraId="72AAD2FF" w14:textId="6A65B5A1" w:rsidR="00AF395D" w:rsidRPr="00770B0F" w:rsidRDefault="00C26B70">
            <w:pPr>
              <w:rPr>
                <w:sz w:val="20"/>
                <w:szCs w:val="20"/>
              </w:rPr>
            </w:pPr>
            <w:proofErr w:type="spellStart"/>
            <w:r>
              <w:rPr>
                <w:sz w:val="20"/>
                <w:szCs w:val="20"/>
              </w:rPr>
              <w:t>AIMSWeb</w:t>
            </w:r>
            <w:proofErr w:type="spellEnd"/>
            <w:r>
              <w:rPr>
                <w:sz w:val="20"/>
                <w:szCs w:val="20"/>
              </w:rPr>
              <w:t xml:space="preserve"> Plus</w:t>
            </w:r>
          </w:p>
        </w:tc>
        <w:tc>
          <w:tcPr>
            <w:tcW w:w="1620" w:type="dxa"/>
            <w:tcBorders>
              <w:bottom w:val="single" w:sz="4" w:space="0" w:color="auto"/>
            </w:tcBorders>
            <w:shd w:val="clear" w:color="auto" w:fill="DBE5F1" w:themeFill="accent1" w:themeFillTint="33"/>
          </w:tcPr>
          <w:p w14:paraId="1E6D6FC2" w14:textId="507D5EFB" w:rsidR="00E25E8B" w:rsidRPr="00770B0F" w:rsidRDefault="00AF395D">
            <w:pPr>
              <w:rPr>
                <w:sz w:val="20"/>
                <w:szCs w:val="20"/>
              </w:rPr>
            </w:pPr>
            <w:r w:rsidRPr="00770B0F">
              <w:rPr>
                <w:sz w:val="20"/>
                <w:szCs w:val="20"/>
              </w:rPr>
              <w:t>Grades K-</w:t>
            </w:r>
            <w:r w:rsidR="00EF3002">
              <w:rPr>
                <w:sz w:val="20"/>
                <w:szCs w:val="20"/>
              </w:rPr>
              <w:t>12</w:t>
            </w:r>
          </w:p>
        </w:tc>
        <w:tc>
          <w:tcPr>
            <w:tcW w:w="1530" w:type="dxa"/>
            <w:tcBorders>
              <w:bottom w:val="single" w:sz="4" w:space="0" w:color="auto"/>
            </w:tcBorders>
            <w:shd w:val="clear" w:color="auto" w:fill="DBE5F1" w:themeFill="accent1" w:themeFillTint="33"/>
          </w:tcPr>
          <w:p w14:paraId="67652756" w14:textId="789CF0F6" w:rsidR="00E25E8B" w:rsidRPr="00770B0F" w:rsidRDefault="00F33FC8">
            <w:pPr>
              <w:rPr>
                <w:sz w:val="20"/>
                <w:szCs w:val="20"/>
              </w:rPr>
            </w:pPr>
            <w:r>
              <w:rPr>
                <w:sz w:val="20"/>
                <w:szCs w:val="20"/>
              </w:rPr>
              <w:t xml:space="preserve">Fall – </w:t>
            </w:r>
            <w:r w:rsidR="00EF3002">
              <w:rPr>
                <w:sz w:val="20"/>
                <w:szCs w:val="20"/>
              </w:rPr>
              <w:t>Aug</w:t>
            </w:r>
            <w:r w:rsidR="00C96F75">
              <w:rPr>
                <w:sz w:val="20"/>
                <w:szCs w:val="20"/>
              </w:rPr>
              <w:t>/</w:t>
            </w:r>
            <w:r w:rsidR="00EF3002">
              <w:rPr>
                <w:sz w:val="20"/>
                <w:szCs w:val="20"/>
              </w:rPr>
              <w:t xml:space="preserve">Sept </w:t>
            </w:r>
          </w:p>
          <w:p w14:paraId="2EA3017C" w14:textId="77777777" w:rsidR="00AF395D" w:rsidRPr="00770B0F" w:rsidRDefault="00AF395D">
            <w:pPr>
              <w:rPr>
                <w:sz w:val="20"/>
                <w:szCs w:val="20"/>
              </w:rPr>
            </w:pPr>
          </w:p>
          <w:p w14:paraId="3E7CB376" w14:textId="77777777" w:rsidR="00DD6734" w:rsidRPr="00770B0F" w:rsidRDefault="00DD6734">
            <w:pPr>
              <w:rPr>
                <w:sz w:val="20"/>
                <w:szCs w:val="20"/>
              </w:rPr>
            </w:pPr>
            <w:r w:rsidRPr="00770B0F">
              <w:rPr>
                <w:sz w:val="20"/>
                <w:szCs w:val="20"/>
              </w:rPr>
              <w:t xml:space="preserve">Winter – </w:t>
            </w:r>
          </w:p>
          <w:p w14:paraId="50FD7F4C" w14:textId="11862AE3" w:rsidR="00AF395D" w:rsidRPr="00770B0F" w:rsidRDefault="00EF3002">
            <w:pPr>
              <w:rPr>
                <w:sz w:val="20"/>
                <w:szCs w:val="20"/>
              </w:rPr>
            </w:pPr>
            <w:r>
              <w:rPr>
                <w:sz w:val="20"/>
                <w:szCs w:val="20"/>
              </w:rPr>
              <w:t>Jan</w:t>
            </w:r>
            <w:r w:rsidR="00C96F75">
              <w:rPr>
                <w:sz w:val="20"/>
                <w:szCs w:val="20"/>
              </w:rPr>
              <w:t>uary</w:t>
            </w:r>
            <w:r>
              <w:rPr>
                <w:sz w:val="20"/>
                <w:szCs w:val="20"/>
              </w:rPr>
              <w:t xml:space="preserve"> </w:t>
            </w:r>
          </w:p>
          <w:p w14:paraId="280960C0" w14:textId="77777777" w:rsidR="00AF395D" w:rsidRPr="00770B0F" w:rsidRDefault="00AF395D">
            <w:pPr>
              <w:rPr>
                <w:sz w:val="20"/>
                <w:szCs w:val="20"/>
              </w:rPr>
            </w:pPr>
          </w:p>
          <w:p w14:paraId="00EC4D64" w14:textId="77777777" w:rsidR="00AF395D" w:rsidRDefault="00F33FC8">
            <w:pPr>
              <w:rPr>
                <w:sz w:val="20"/>
                <w:szCs w:val="20"/>
              </w:rPr>
            </w:pPr>
            <w:r>
              <w:rPr>
                <w:sz w:val="20"/>
                <w:szCs w:val="20"/>
              </w:rPr>
              <w:t xml:space="preserve">Spring – </w:t>
            </w:r>
          </w:p>
          <w:p w14:paraId="7E2625D7" w14:textId="24E73718" w:rsidR="00EF3002" w:rsidRDefault="00EF3002">
            <w:pPr>
              <w:rPr>
                <w:sz w:val="20"/>
                <w:szCs w:val="20"/>
              </w:rPr>
            </w:pPr>
            <w:r>
              <w:rPr>
                <w:sz w:val="20"/>
                <w:szCs w:val="20"/>
              </w:rPr>
              <w:t>March</w:t>
            </w:r>
            <w:r w:rsidR="00C96F75">
              <w:rPr>
                <w:sz w:val="20"/>
                <w:szCs w:val="20"/>
              </w:rPr>
              <w:t xml:space="preserve">/April </w:t>
            </w:r>
          </w:p>
          <w:p w14:paraId="77EE6312" w14:textId="0F5BB450" w:rsidR="00C96F75" w:rsidRDefault="00C96F75">
            <w:pPr>
              <w:rPr>
                <w:sz w:val="20"/>
                <w:szCs w:val="20"/>
              </w:rPr>
            </w:pPr>
          </w:p>
          <w:p w14:paraId="0AD16CEF" w14:textId="2BB5F288" w:rsidR="00C96F75" w:rsidRPr="00770B0F" w:rsidRDefault="00C96F75" w:rsidP="00C96F75">
            <w:pPr>
              <w:rPr>
                <w:sz w:val="20"/>
                <w:szCs w:val="20"/>
              </w:rPr>
            </w:pPr>
          </w:p>
        </w:tc>
        <w:tc>
          <w:tcPr>
            <w:tcW w:w="2070" w:type="dxa"/>
            <w:tcBorders>
              <w:bottom w:val="single" w:sz="4" w:space="0" w:color="auto"/>
            </w:tcBorders>
            <w:shd w:val="clear" w:color="auto" w:fill="DBE5F1" w:themeFill="accent1" w:themeFillTint="33"/>
          </w:tcPr>
          <w:p w14:paraId="1F4CD5BB" w14:textId="77777777" w:rsidR="00E25E8B" w:rsidRPr="00770B0F" w:rsidRDefault="001F5EEF">
            <w:pPr>
              <w:rPr>
                <w:sz w:val="20"/>
                <w:szCs w:val="20"/>
              </w:rPr>
            </w:pPr>
            <w:r w:rsidRPr="00770B0F">
              <w:rPr>
                <w:sz w:val="20"/>
                <w:szCs w:val="20"/>
              </w:rPr>
              <w:t>To determine whether students demonstrate the skills necessary to achieve grade-level standards.</w:t>
            </w:r>
          </w:p>
          <w:p w14:paraId="61B036A8" w14:textId="77777777" w:rsidR="001F5EEF" w:rsidRPr="00770B0F" w:rsidRDefault="001F5EEF">
            <w:pPr>
              <w:rPr>
                <w:sz w:val="20"/>
                <w:szCs w:val="20"/>
              </w:rPr>
            </w:pPr>
          </w:p>
          <w:p w14:paraId="1CB091A9" w14:textId="77777777" w:rsidR="001F5EEF" w:rsidRDefault="001F5EEF">
            <w:pPr>
              <w:rPr>
                <w:sz w:val="20"/>
                <w:szCs w:val="20"/>
              </w:rPr>
            </w:pPr>
            <w:r w:rsidRPr="00770B0F">
              <w:rPr>
                <w:sz w:val="20"/>
                <w:szCs w:val="20"/>
              </w:rPr>
              <w:t xml:space="preserve">Data is used to inform and drive instructional decisions.  </w:t>
            </w:r>
          </w:p>
          <w:p w14:paraId="33A1BF19" w14:textId="6B15D0E2" w:rsidR="00AA18D7" w:rsidRPr="00770B0F" w:rsidRDefault="00AA18D7">
            <w:pPr>
              <w:rPr>
                <w:sz w:val="20"/>
                <w:szCs w:val="20"/>
              </w:rPr>
            </w:pPr>
          </w:p>
        </w:tc>
        <w:tc>
          <w:tcPr>
            <w:tcW w:w="1080" w:type="dxa"/>
            <w:tcBorders>
              <w:bottom w:val="single" w:sz="4" w:space="0" w:color="auto"/>
            </w:tcBorders>
            <w:shd w:val="clear" w:color="auto" w:fill="DBE5F1" w:themeFill="accent1" w:themeFillTint="33"/>
          </w:tcPr>
          <w:p w14:paraId="33F6AAA9" w14:textId="77777777" w:rsidR="00E25E8B" w:rsidRDefault="00C54AEF">
            <w:pPr>
              <w:rPr>
                <w:sz w:val="20"/>
                <w:szCs w:val="20"/>
              </w:rPr>
            </w:pPr>
            <w:r w:rsidRPr="00770B0F">
              <w:rPr>
                <w:sz w:val="20"/>
                <w:szCs w:val="20"/>
              </w:rPr>
              <w:t>State – Requires a universal screener, the district has the option to choose the screener</w:t>
            </w:r>
          </w:p>
          <w:p w14:paraId="5F2CE418" w14:textId="14AC604A" w:rsidR="004B7920" w:rsidRPr="00770B0F" w:rsidRDefault="004B7920">
            <w:pPr>
              <w:rPr>
                <w:sz w:val="20"/>
                <w:szCs w:val="20"/>
              </w:rPr>
            </w:pPr>
          </w:p>
        </w:tc>
        <w:tc>
          <w:tcPr>
            <w:tcW w:w="3060" w:type="dxa"/>
            <w:tcBorders>
              <w:bottom w:val="single" w:sz="4" w:space="0" w:color="auto"/>
            </w:tcBorders>
            <w:shd w:val="clear" w:color="auto" w:fill="DBE5F1" w:themeFill="accent1" w:themeFillTint="33"/>
          </w:tcPr>
          <w:p w14:paraId="58374788" w14:textId="77777777" w:rsidR="00E25E8B" w:rsidRPr="00770B0F" w:rsidRDefault="001F5EEF">
            <w:pPr>
              <w:rPr>
                <w:sz w:val="20"/>
                <w:szCs w:val="20"/>
              </w:rPr>
            </w:pPr>
            <w:r w:rsidRPr="00770B0F">
              <w:rPr>
                <w:sz w:val="20"/>
                <w:szCs w:val="20"/>
              </w:rPr>
              <w:t>Parents are informed through letters of the placement/movement of students in tiered instruction and interventions based on the results of the data.</w:t>
            </w:r>
          </w:p>
        </w:tc>
      </w:tr>
      <w:tr w:rsidR="00345954" w14:paraId="790FC3CF" w14:textId="77777777" w:rsidTr="00EF3002">
        <w:tc>
          <w:tcPr>
            <w:tcW w:w="1980" w:type="dxa"/>
            <w:tcBorders>
              <w:bottom w:val="single" w:sz="4" w:space="0" w:color="auto"/>
            </w:tcBorders>
            <w:shd w:val="clear" w:color="auto" w:fill="8DB3E2" w:themeFill="text2" w:themeFillTint="66"/>
          </w:tcPr>
          <w:p w14:paraId="366D590C" w14:textId="4B21308D" w:rsidR="00345954" w:rsidRPr="00770B0F" w:rsidRDefault="00087EA0">
            <w:pPr>
              <w:rPr>
                <w:sz w:val="20"/>
                <w:szCs w:val="20"/>
              </w:rPr>
            </w:pPr>
            <w:r>
              <w:rPr>
                <w:sz w:val="20"/>
                <w:szCs w:val="20"/>
              </w:rPr>
              <w:t>WIDA</w:t>
            </w:r>
            <w:r w:rsidR="00F6035A">
              <w:rPr>
                <w:sz w:val="20"/>
                <w:szCs w:val="20"/>
              </w:rPr>
              <w:t xml:space="preserve"> Access for EL Status</w:t>
            </w:r>
          </w:p>
        </w:tc>
        <w:tc>
          <w:tcPr>
            <w:tcW w:w="1620" w:type="dxa"/>
            <w:tcBorders>
              <w:bottom w:val="single" w:sz="4" w:space="0" w:color="auto"/>
            </w:tcBorders>
            <w:shd w:val="clear" w:color="auto" w:fill="8DB3E2" w:themeFill="text2" w:themeFillTint="66"/>
          </w:tcPr>
          <w:p w14:paraId="1BFE010C" w14:textId="3C98008F" w:rsidR="00345954" w:rsidRPr="00770B0F" w:rsidRDefault="00F6035A">
            <w:pPr>
              <w:rPr>
                <w:sz w:val="20"/>
                <w:szCs w:val="20"/>
              </w:rPr>
            </w:pPr>
            <w:r>
              <w:rPr>
                <w:sz w:val="20"/>
                <w:szCs w:val="20"/>
              </w:rPr>
              <w:t xml:space="preserve">All Grades </w:t>
            </w:r>
          </w:p>
        </w:tc>
        <w:tc>
          <w:tcPr>
            <w:tcW w:w="1530" w:type="dxa"/>
            <w:tcBorders>
              <w:bottom w:val="single" w:sz="4" w:space="0" w:color="auto"/>
            </w:tcBorders>
            <w:shd w:val="clear" w:color="auto" w:fill="8DB3E2" w:themeFill="text2" w:themeFillTint="66"/>
          </w:tcPr>
          <w:p w14:paraId="2ADD6DC9" w14:textId="77777777" w:rsidR="00345954" w:rsidRDefault="00F6035A">
            <w:pPr>
              <w:rPr>
                <w:sz w:val="20"/>
                <w:szCs w:val="20"/>
              </w:rPr>
            </w:pPr>
            <w:r>
              <w:rPr>
                <w:sz w:val="20"/>
                <w:szCs w:val="20"/>
              </w:rPr>
              <w:t xml:space="preserve">August – May </w:t>
            </w:r>
          </w:p>
          <w:p w14:paraId="0BC9734B" w14:textId="77777777" w:rsidR="00AA18D7" w:rsidRDefault="00AA18D7">
            <w:pPr>
              <w:rPr>
                <w:sz w:val="20"/>
                <w:szCs w:val="20"/>
              </w:rPr>
            </w:pPr>
          </w:p>
          <w:p w14:paraId="7A7ADB1C" w14:textId="4A58AB5C" w:rsidR="00AA18D7" w:rsidRPr="00770B0F" w:rsidRDefault="00AA18D7">
            <w:pPr>
              <w:rPr>
                <w:sz w:val="20"/>
                <w:szCs w:val="20"/>
              </w:rPr>
            </w:pPr>
            <w:r>
              <w:rPr>
                <w:sz w:val="20"/>
                <w:szCs w:val="20"/>
              </w:rPr>
              <w:t>Continuous</w:t>
            </w:r>
          </w:p>
        </w:tc>
        <w:tc>
          <w:tcPr>
            <w:tcW w:w="2070" w:type="dxa"/>
            <w:tcBorders>
              <w:bottom w:val="single" w:sz="4" w:space="0" w:color="auto"/>
            </w:tcBorders>
            <w:shd w:val="clear" w:color="auto" w:fill="8DB3E2" w:themeFill="text2" w:themeFillTint="66"/>
          </w:tcPr>
          <w:p w14:paraId="562F6542" w14:textId="77777777" w:rsidR="00345954" w:rsidRDefault="00AA18D7" w:rsidP="00AA18D7">
            <w:pPr>
              <w:rPr>
                <w:sz w:val="20"/>
                <w:szCs w:val="20"/>
              </w:rPr>
            </w:pPr>
            <w:r>
              <w:rPr>
                <w:sz w:val="20"/>
                <w:szCs w:val="20"/>
              </w:rPr>
              <w:t>This assessment is an English language proficiency “screener” test given to incoming students who may be designated as English language learners.  It assists educators with programmatic placement decisions such as identification and placement of ELs.</w:t>
            </w:r>
          </w:p>
          <w:p w14:paraId="5634B263" w14:textId="3EF19D61" w:rsidR="00AA18D7" w:rsidRPr="00AA18D7" w:rsidRDefault="00AA18D7" w:rsidP="00AA18D7">
            <w:pPr>
              <w:rPr>
                <w:sz w:val="20"/>
                <w:szCs w:val="20"/>
              </w:rPr>
            </w:pPr>
          </w:p>
        </w:tc>
        <w:tc>
          <w:tcPr>
            <w:tcW w:w="1080" w:type="dxa"/>
            <w:tcBorders>
              <w:bottom w:val="single" w:sz="4" w:space="0" w:color="auto"/>
            </w:tcBorders>
            <w:shd w:val="clear" w:color="auto" w:fill="8DB3E2" w:themeFill="text2" w:themeFillTint="66"/>
          </w:tcPr>
          <w:p w14:paraId="3EAC6B7D" w14:textId="02DB458B" w:rsidR="00345954" w:rsidRPr="00AA18D7" w:rsidRDefault="00F6035A" w:rsidP="00C54AEF">
            <w:pPr>
              <w:rPr>
                <w:sz w:val="20"/>
                <w:szCs w:val="20"/>
              </w:rPr>
            </w:pPr>
            <w:r w:rsidRPr="00AA18D7">
              <w:rPr>
                <w:sz w:val="20"/>
                <w:szCs w:val="20"/>
              </w:rPr>
              <w:t>State</w:t>
            </w:r>
          </w:p>
        </w:tc>
        <w:tc>
          <w:tcPr>
            <w:tcW w:w="3060" w:type="dxa"/>
            <w:tcBorders>
              <w:bottom w:val="single" w:sz="4" w:space="0" w:color="auto"/>
            </w:tcBorders>
            <w:shd w:val="clear" w:color="auto" w:fill="8DB3E2" w:themeFill="text2" w:themeFillTint="66"/>
          </w:tcPr>
          <w:p w14:paraId="69E575B0" w14:textId="7AE1288C" w:rsidR="00AA18D7" w:rsidRPr="00770B0F" w:rsidRDefault="00AA18D7" w:rsidP="00AA18D7">
            <w:pPr>
              <w:rPr>
                <w:sz w:val="20"/>
                <w:szCs w:val="20"/>
              </w:rPr>
            </w:pPr>
            <w:r>
              <w:rPr>
                <w:sz w:val="20"/>
                <w:szCs w:val="20"/>
              </w:rPr>
              <w:t xml:space="preserve">The results of these tests will be sent home upon completion of the testing window. </w:t>
            </w:r>
          </w:p>
          <w:p w14:paraId="77A466FC" w14:textId="77777777" w:rsidR="00345954" w:rsidRPr="00AA18D7" w:rsidRDefault="00345954" w:rsidP="00AA18D7">
            <w:pPr>
              <w:widowControl w:val="0"/>
              <w:autoSpaceDE w:val="0"/>
              <w:autoSpaceDN w:val="0"/>
              <w:adjustRightInd w:val="0"/>
              <w:spacing w:after="240" w:line="300" w:lineRule="atLeast"/>
              <w:rPr>
                <w:sz w:val="20"/>
                <w:szCs w:val="20"/>
              </w:rPr>
            </w:pPr>
          </w:p>
        </w:tc>
      </w:tr>
      <w:tr w:rsidR="00345954" w14:paraId="14F758B2" w14:textId="77777777" w:rsidTr="00EF3002">
        <w:trPr>
          <w:trHeight w:val="197"/>
        </w:trPr>
        <w:tc>
          <w:tcPr>
            <w:tcW w:w="1980" w:type="dxa"/>
            <w:shd w:val="clear" w:color="auto" w:fill="DBE5F1" w:themeFill="accent1" w:themeFillTint="33"/>
          </w:tcPr>
          <w:p w14:paraId="0AAED8E4" w14:textId="18F54929" w:rsidR="00345954" w:rsidRPr="00770B0F" w:rsidRDefault="00087EA0">
            <w:pPr>
              <w:rPr>
                <w:sz w:val="20"/>
                <w:szCs w:val="20"/>
              </w:rPr>
            </w:pPr>
            <w:r>
              <w:rPr>
                <w:sz w:val="20"/>
                <w:szCs w:val="20"/>
              </w:rPr>
              <w:t xml:space="preserve">Statewide Dual Credit Exam </w:t>
            </w:r>
          </w:p>
        </w:tc>
        <w:tc>
          <w:tcPr>
            <w:tcW w:w="1620" w:type="dxa"/>
            <w:shd w:val="clear" w:color="auto" w:fill="DBE5F1" w:themeFill="accent1" w:themeFillTint="33"/>
          </w:tcPr>
          <w:p w14:paraId="70C367C2" w14:textId="42218988" w:rsidR="00345954" w:rsidRPr="00770B0F" w:rsidRDefault="008A0809">
            <w:pPr>
              <w:rPr>
                <w:sz w:val="20"/>
                <w:szCs w:val="20"/>
              </w:rPr>
            </w:pPr>
            <w:r>
              <w:rPr>
                <w:sz w:val="20"/>
                <w:szCs w:val="20"/>
              </w:rPr>
              <w:t>American History II, Criminal Justice I, Pre-Calculus, Psychology, Introduction to Probability &amp; Statistics, World History, Intro to Ag Business, Intro to Plant Science, Intro to Sociology</w:t>
            </w:r>
          </w:p>
        </w:tc>
        <w:tc>
          <w:tcPr>
            <w:tcW w:w="1530" w:type="dxa"/>
            <w:shd w:val="clear" w:color="auto" w:fill="DBE5F1" w:themeFill="accent1" w:themeFillTint="33"/>
          </w:tcPr>
          <w:p w14:paraId="137081E1" w14:textId="61A68DA7" w:rsidR="00345954" w:rsidRPr="00770B0F" w:rsidRDefault="00EF3002">
            <w:pPr>
              <w:rPr>
                <w:sz w:val="20"/>
                <w:szCs w:val="20"/>
              </w:rPr>
            </w:pPr>
            <w:r>
              <w:rPr>
                <w:sz w:val="20"/>
                <w:szCs w:val="20"/>
              </w:rPr>
              <w:t>April/</w:t>
            </w:r>
            <w:r w:rsidR="008A0809">
              <w:rPr>
                <w:sz w:val="20"/>
                <w:szCs w:val="20"/>
              </w:rPr>
              <w:t>May</w:t>
            </w:r>
          </w:p>
        </w:tc>
        <w:tc>
          <w:tcPr>
            <w:tcW w:w="2070" w:type="dxa"/>
            <w:shd w:val="clear" w:color="auto" w:fill="DBE5F1" w:themeFill="accent1" w:themeFillTint="33"/>
          </w:tcPr>
          <w:p w14:paraId="5E3346B7" w14:textId="786B2025" w:rsidR="00345954" w:rsidRPr="00770B0F" w:rsidRDefault="008A0809" w:rsidP="008A0809">
            <w:pPr>
              <w:rPr>
                <w:sz w:val="20"/>
                <w:szCs w:val="20"/>
              </w:rPr>
            </w:pPr>
            <w:r w:rsidRPr="008A0809">
              <w:rPr>
                <w:rFonts w:eastAsia="Times New Roman" w:cs="Times New Roman"/>
                <w:sz w:val="20"/>
                <w:szCs w:val="20"/>
              </w:rPr>
              <w:t xml:space="preserve">All students enrolled in a statewide dual credit course take the online challenge exam, which is used to assess mastery of the postsecondary-level learning objectives. Students which meet or exceed the exam ‘cut score’ receive college credit that can be applied to any Tennessee public postsecondary institution. </w:t>
            </w:r>
          </w:p>
        </w:tc>
        <w:tc>
          <w:tcPr>
            <w:tcW w:w="1080" w:type="dxa"/>
            <w:shd w:val="clear" w:color="auto" w:fill="DBE5F1" w:themeFill="accent1" w:themeFillTint="33"/>
          </w:tcPr>
          <w:p w14:paraId="702CBA3C" w14:textId="34D5A3F7" w:rsidR="00345954" w:rsidRPr="00770B0F" w:rsidRDefault="008A0809" w:rsidP="00C54AEF">
            <w:pPr>
              <w:rPr>
                <w:sz w:val="20"/>
                <w:szCs w:val="20"/>
              </w:rPr>
            </w:pPr>
            <w:r>
              <w:rPr>
                <w:sz w:val="20"/>
                <w:szCs w:val="20"/>
              </w:rPr>
              <w:t xml:space="preserve">State </w:t>
            </w:r>
          </w:p>
        </w:tc>
        <w:tc>
          <w:tcPr>
            <w:tcW w:w="3060" w:type="dxa"/>
            <w:shd w:val="clear" w:color="auto" w:fill="DBE5F1" w:themeFill="accent1" w:themeFillTint="33"/>
          </w:tcPr>
          <w:p w14:paraId="40BD2F8A" w14:textId="77777777" w:rsidR="008A0809" w:rsidRPr="008A0809" w:rsidRDefault="008A0809" w:rsidP="008A0809">
            <w:pPr>
              <w:rPr>
                <w:rFonts w:eastAsia="Times New Roman" w:cs="Times New Roman"/>
                <w:sz w:val="20"/>
                <w:szCs w:val="20"/>
              </w:rPr>
            </w:pPr>
            <w:r w:rsidRPr="008A0809">
              <w:rPr>
                <w:rFonts w:eastAsia="Times New Roman" w:cs="Times New Roman"/>
                <w:sz w:val="20"/>
                <w:szCs w:val="20"/>
              </w:rPr>
              <w:t>Exam scores are reported on the high school transcript to ensure postsecondary credit is accurately awarded but are not used in any state accountability measures.</w:t>
            </w:r>
          </w:p>
          <w:p w14:paraId="7EF1953E" w14:textId="77777777" w:rsidR="00345954" w:rsidRPr="00770B0F" w:rsidRDefault="00345954">
            <w:pPr>
              <w:rPr>
                <w:sz w:val="20"/>
                <w:szCs w:val="20"/>
              </w:rPr>
            </w:pPr>
          </w:p>
        </w:tc>
      </w:tr>
    </w:tbl>
    <w:p w14:paraId="2910C305" w14:textId="77777777" w:rsidR="00C77DE6" w:rsidRDefault="00C77DE6"/>
    <w:sectPr w:rsidR="00C77DE6" w:rsidSect="004B7920">
      <w:pgSz w:w="12240" w:h="15840"/>
      <w:pgMar w:top="504" w:right="1080" w:bottom="50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8B"/>
    <w:rsid w:val="00050AB8"/>
    <w:rsid w:val="00087EA0"/>
    <w:rsid w:val="0018763F"/>
    <w:rsid w:val="001F5EEF"/>
    <w:rsid w:val="00282B5E"/>
    <w:rsid w:val="00345954"/>
    <w:rsid w:val="004B7920"/>
    <w:rsid w:val="004E688D"/>
    <w:rsid w:val="00607F31"/>
    <w:rsid w:val="00615E1E"/>
    <w:rsid w:val="00690A88"/>
    <w:rsid w:val="006A7C9C"/>
    <w:rsid w:val="00770B0F"/>
    <w:rsid w:val="00863210"/>
    <w:rsid w:val="00890615"/>
    <w:rsid w:val="008A0809"/>
    <w:rsid w:val="00926756"/>
    <w:rsid w:val="00993C0E"/>
    <w:rsid w:val="009C7990"/>
    <w:rsid w:val="00A4206B"/>
    <w:rsid w:val="00AA18D7"/>
    <w:rsid w:val="00AF395D"/>
    <w:rsid w:val="00B27240"/>
    <w:rsid w:val="00BF4C56"/>
    <w:rsid w:val="00C26B70"/>
    <w:rsid w:val="00C54AEF"/>
    <w:rsid w:val="00C54CB6"/>
    <w:rsid w:val="00C77DE6"/>
    <w:rsid w:val="00C96F75"/>
    <w:rsid w:val="00CC3236"/>
    <w:rsid w:val="00DA534E"/>
    <w:rsid w:val="00DC767D"/>
    <w:rsid w:val="00DD6734"/>
    <w:rsid w:val="00E25E8B"/>
    <w:rsid w:val="00E83D3B"/>
    <w:rsid w:val="00EC1830"/>
    <w:rsid w:val="00EF3002"/>
    <w:rsid w:val="00F33FC8"/>
    <w:rsid w:val="00F6035A"/>
    <w:rsid w:val="00F8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ED1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9BF"/>
    <w:pPr>
      <w:spacing w:before="100" w:beforeAutospacing="1" w:after="100" w:afterAutospacing="1"/>
    </w:pPr>
    <w:rPr>
      <w:rFonts w:ascii="Times" w:hAnsi="Times" w:cs="Times New Roman"/>
      <w:sz w:val="20"/>
      <w:szCs w:val="20"/>
    </w:rPr>
  </w:style>
  <w:style w:type="character" w:customStyle="1" w:styleId="il">
    <w:name w:val="il"/>
    <w:basedOn w:val="DefaultParagraphFont"/>
    <w:rsid w:val="006A7C9C"/>
  </w:style>
  <w:style w:type="table" w:styleId="LightShading-Accent2">
    <w:name w:val="Light Shading Accent 2"/>
    <w:basedOn w:val="TableNormal"/>
    <w:uiPriority w:val="60"/>
    <w:rsid w:val="00BF4C5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BF4C5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59342">
      <w:bodyDiv w:val="1"/>
      <w:marLeft w:val="0"/>
      <w:marRight w:val="0"/>
      <w:marTop w:val="0"/>
      <w:marBottom w:val="0"/>
      <w:divBdr>
        <w:top w:val="none" w:sz="0" w:space="0" w:color="auto"/>
        <w:left w:val="none" w:sz="0" w:space="0" w:color="auto"/>
        <w:bottom w:val="none" w:sz="0" w:space="0" w:color="auto"/>
        <w:right w:val="none" w:sz="0" w:space="0" w:color="auto"/>
      </w:divBdr>
    </w:div>
    <w:div w:id="257056805">
      <w:bodyDiv w:val="1"/>
      <w:marLeft w:val="0"/>
      <w:marRight w:val="0"/>
      <w:marTop w:val="0"/>
      <w:marBottom w:val="0"/>
      <w:divBdr>
        <w:top w:val="none" w:sz="0" w:space="0" w:color="auto"/>
        <w:left w:val="none" w:sz="0" w:space="0" w:color="auto"/>
        <w:bottom w:val="none" w:sz="0" w:space="0" w:color="auto"/>
        <w:right w:val="none" w:sz="0" w:space="0" w:color="auto"/>
      </w:divBdr>
    </w:div>
    <w:div w:id="569653311">
      <w:bodyDiv w:val="1"/>
      <w:marLeft w:val="0"/>
      <w:marRight w:val="0"/>
      <w:marTop w:val="0"/>
      <w:marBottom w:val="0"/>
      <w:divBdr>
        <w:top w:val="none" w:sz="0" w:space="0" w:color="auto"/>
        <w:left w:val="none" w:sz="0" w:space="0" w:color="auto"/>
        <w:bottom w:val="none" w:sz="0" w:space="0" w:color="auto"/>
        <w:right w:val="none" w:sz="0" w:space="0" w:color="auto"/>
      </w:divBdr>
    </w:div>
    <w:div w:id="770782977">
      <w:bodyDiv w:val="1"/>
      <w:marLeft w:val="0"/>
      <w:marRight w:val="0"/>
      <w:marTop w:val="0"/>
      <w:marBottom w:val="0"/>
      <w:divBdr>
        <w:top w:val="none" w:sz="0" w:space="0" w:color="auto"/>
        <w:left w:val="none" w:sz="0" w:space="0" w:color="auto"/>
        <w:bottom w:val="none" w:sz="0" w:space="0" w:color="auto"/>
        <w:right w:val="none" w:sz="0" w:space="0" w:color="auto"/>
      </w:divBdr>
      <w:divsChild>
        <w:div w:id="1675449232">
          <w:marLeft w:val="0"/>
          <w:marRight w:val="0"/>
          <w:marTop w:val="0"/>
          <w:marBottom w:val="0"/>
          <w:divBdr>
            <w:top w:val="none" w:sz="0" w:space="0" w:color="auto"/>
            <w:left w:val="none" w:sz="0" w:space="0" w:color="auto"/>
            <w:bottom w:val="none" w:sz="0" w:space="0" w:color="auto"/>
            <w:right w:val="none" w:sz="0" w:space="0" w:color="auto"/>
          </w:divBdr>
        </w:div>
        <w:div w:id="1618945277">
          <w:marLeft w:val="0"/>
          <w:marRight w:val="0"/>
          <w:marTop w:val="0"/>
          <w:marBottom w:val="0"/>
          <w:divBdr>
            <w:top w:val="none" w:sz="0" w:space="0" w:color="auto"/>
            <w:left w:val="none" w:sz="0" w:space="0" w:color="auto"/>
            <w:bottom w:val="none" w:sz="0" w:space="0" w:color="auto"/>
            <w:right w:val="none" w:sz="0" w:space="0" w:color="auto"/>
          </w:divBdr>
        </w:div>
        <w:div w:id="570193222">
          <w:marLeft w:val="0"/>
          <w:marRight w:val="0"/>
          <w:marTop w:val="0"/>
          <w:marBottom w:val="0"/>
          <w:divBdr>
            <w:top w:val="none" w:sz="0" w:space="0" w:color="auto"/>
            <w:left w:val="none" w:sz="0" w:space="0" w:color="auto"/>
            <w:bottom w:val="none" w:sz="0" w:space="0" w:color="auto"/>
            <w:right w:val="none" w:sz="0" w:space="0" w:color="auto"/>
          </w:divBdr>
        </w:div>
      </w:divsChild>
    </w:div>
    <w:div w:id="1459839473">
      <w:bodyDiv w:val="1"/>
      <w:marLeft w:val="0"/>
      <w:marRight w:val="0"/>
      <w:marTop w:val="0"/>
      <w:marBottom w:val="0"/>
      <w:divBdr>
        <w:top w:val="none" w:sz="0" w:space="0" w:color="auto"/>
        <w:left w:val="none" w:sz="0" w:space="0" w:color="auto"/>
        <w:bottom w:val="none" w:sz="0" w:space="0" w:color="auto"/>
        <w:right w:val="none" w:sz="0" w:space="0" w:color="auto"/>
      </w:divBdr>
    </w:div>
    <w:div w:id="1509442764">
      <w:bodyDiv w:val="1"/>
      <w:marLeft w:val="0"/>
      <w:marRight w:val="0"/>
      <w:marTop w:val="0"/>
      <w:marBottom w:val="0"/>
      <w:divBdr>
        <w:top w:val="none" w:sz="0" w:space="0" w:color="auto"/>
        <w:left w:val="none" w:sz="0" w:space="0" w:color="auto"/>
        <w:bottom w:val="none" w:sz="0" w:space="0" w:color="auto"/>
        <w:right w:val="none" w:sz="0" w:space="0" w:color="auto"/>
      </w:divBdr>
      <w:divsChild>
        <w:div w:id="1521043438">
          <w:marLeft w:val="0"/>
          <w:marRight w:val="0"/>
          <w:marTop w:val="0"/>
          <w:marBottom w:val="0"/>
          <w:divBdr>
            <w:top w:val="none" w:sz="0" w:space="0" w:color="auto"/>
            <w:left w:val="none" w:sz="0" w:space="0" w:color="auto"/>
            <w:bottom w:val="none" w:sz="0" w:space="0" w:color="auto"/>
            <w:right w:val="none" w:sz="0" w:space="0" w:color="auto"/>
          </w:divBdr>
        </w:div>
        <w:div w:id="630860706">
          <w:marLeft w:val="0"/>
          <w:marRight w:val="0"/>
          <w:marTop w:val="0"/>
          <w:marBottom w:val="0"/>
          <w:divBdr>
            <w:top w:val="none" w:sz="0" w:space="0" w:color="auto"/>
            <w:left w:val="none" w:sz="0" w:space="0" w:color="auto"/>
            <w:bottom w:val="none" w:sz="0" w:space="0" w:color="auto"/>
            <w:right w:val="none" w:sz="0" w:space="0" w:color="auto"/>
          </w:divBdr>
        </w:div>
        <w:div w:id="57364088">
          <w:marLeft w:val="0"/>
          <w:marRight w:val="0"/>
          <w:marTop w:val="0"/>
          <w:marBottom w:val="0"/>
          <w:divBdr>
            <w:top w:val="none" w:sz="0" w:space="0" w:color="auto"/>
            <w:left w:val="none" w:sz="0" w:space="0" w:color="auto"/>
            <w:bottom w:val="none" w:sz="0" w:space="0" w:color="auto"/>
            <w:right w:val="none" w:sz="0" w:space="0" w:color="auto"/>
          </w:divBdr>
        </w:div>
        <w:div w:id="40442599">
          <w:marLeft w:val="0"/>
          <w:marRight w:val="0"/>
          <w:marTop w:val="0"/>
          <w:marBottom w:val="0"/>
          <w:divBdr>
            <w:top w:val="none" w:sz="0" w:space="0" w:color="auto"/>
            <w:left w:val="none" w:sz="0" w:space="0" w:color="auto"/>
            <w:bottom w:val="none" w:sz="0" w:space="0" w:color="auto"/>
            <w:right w:val="none" w:sz="0" w:space="0" w:color="auto"/>
          </w:divBdr>
        </w:div>
        <w:div w:id="756439479">
          <w:marLeft w:val="0"/>
          <w:marRight w:val="0"/>
          <w:marTop w:val="0"/>
          <w:marBottom w:val="0"/>
          <w:divBdr>
            <w:top w:val="none" w:sz="0" w:space="0" w:color="auto"/>
            <w:left w:val="none" w:sz="0" w:space="0" w:color="auto"/>
            <w:bottom w:val="none" w:sz="0" w:space="0" w:color="auto"/>
            <w:right w:val="none" w:sz="0" w:space="0" w:color="auto"/>
          </w:divBdr>
        </w:div>
      </w:divsChild>
    </w:div>
    <w:div w:id="1862473255">
      <w:bodyDiv w:val="1"/>
      <w:marLeft w:val="0"/>
      <w:marRight w:val="0"/>
      <w:marTop w:val="0"/>
      <w:marBottom w:val="0"/>
      <w:divBdr>
        <w:top w:val="none" w:sz="0" w:space="0" w:color="auto"/>
        <w:left w:val="none" w:sz="0" w:space="0" w:color="auto"/>
        <w:bottom w:val="none" w:sz="0" w:space="0" w:color="auto"/>
        <w:right w:val="none" w:sz="0" w:space="0" w:color="auto"/>
      </w:divBdr>
    </w:div>
    <w:div w:id="2027631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8BC4-2A99-3642-93C5-B76BFAEB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Bledsoe County Schools</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Fields</dc:creator>
  <cp:keywords/>
  <dc:description/>
  <cp:lastModifiedBy>Microsoft Office User</cp:lastModifiedBy>
  <cp:revision>2</cp:revision>
  <dcterms:created xsi:type="dcterms:W3CDTF">2021-05-12T18:42:00Z</dcterms:created>
  <dcterms:modified xsi:type="dcterms:W3CDTF">2021-05-12T18:42:00Z</dcterms:modified>
</cp:coreProperties>
</file>