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9" w:type="pct"/>
        <w:tblInd w:w="80" w:type="dxa"/>
        <w:tblLayout w:type="fixed"/>
        <w:tblLook w:val="04A0"/>
      </w:tblPr>
      <w:tblGrid>
        <w:gridCol w:w="22"/>
        <w:gridCol w:w="2757"/>
        <w:gridCol w:w="49"/>
        <w:gridCol w:w="635"/>
        <w:gridCol w:w="32"/>
        <w:gridCol w:w="652"/>
        <w:gridCol w:w="9"/>
        <w:gridCol w:w="672"/>
        <w:gridCol w:w="670"/>
        <w:gridCol w:w="23"/>
        <w:gridCol w:w="3808"/>
        <w:gridCol w:w="41"/>
        <w:gridCol w:w="2591"/>
        <w:gridCol w:w="29"/>
        <w:gridCol w:w="2565"/>
      </w:tblGrid>
      <w:tr w:rsidR="009422B0" w:rsidRPr="00210FE8" w:rsidTr="009422B0">
        <w:trPr>
          <w:gridBefore w:val="1"/>
          <w:wBefore w:w="8" w:type="pct"/>
        </w:trPr>
        <w:tc>
          <w:tcPr>
            <w:tcW w:w="947" w:type="pct"/>
            <w:vMerge w:val="restart"/>
            <w:vAlign w:val="center"/>
          </w:tcPr>
          <w:p w:rsidR="009422B0" w:rsidRPr="00210FE8" w:rsidRDefault="009422B0" w:rsidP="00D135BF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Common Core State Standard</w:t>
            </w:r>
          </w:p>
        </w:tc>
        <w:tc>
          <w:tcPr>
            <w:tcW w:w="942" w:type="pct"/>
            <w:gridSpan w:val="8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What I will teach each marking period</w:t>
            </w:r>
          </w:p>
        </w:tc>
        <w:tc>
          <w:tcPr>
            <w:tcW w:w="1308" w:type="pct"/>
            <w:vMerge w:val="restart"/>
            <w:vAlign w:val="center"/>
          </w:tcPr>
          <w:p w:rsidR="009422B0" w:rsidRPr="00210FE8" w:rsidRDefault="009422B0" w:rsidP="00D135BF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How it will be taught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9422B0" w:rsidRPr="00210FE8" w:rsidRDefault="009422B0" w:rsidP="00D135BF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Resources needed</w:t>
            </w:r>
          </w:p>
        </w:tc>
        <w:tc>
          <w:tcPr>
            <w:tcW w:w="889" w:type="pct"/>
            <w:gridSpan w:val="2"/>
            <w:vMerge w:val="restart"/>
            <w:vAlign w:val="center"/>
          </w:tcPr>
          <w:p w:rsidR="009422B0" w:rsidRPr="00210FE8" w:rsidRDefault="009422B0" w:rsidP="00D135BF">
            <w:pPr>
              <w:ind w:left="0" w:firstLine="0"/>
              <w:jc w:val="center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How it will be assessed</w:t>
            </w:r>
          </w:p>
        </w:tc>
      </w:tr>
      <w:tr w:rsidR="009422B0" w:rsidRPr="00210FE8" w:rsidTr="009422B0">
        <w:trPr>
          <w:gridBefore w:val="1"/>
          <w:wBefore w:w="8" w:type="pct"/>
        </w:trPr>
        <w:tc>
          <w:tcPr>
            <w:tcW w:w="947" w:type="pct"/>
            <w:vMerge/>
            <w:shd w:val="clear" w:color="auto" w:fill="BFBFBF" w:themeFill="background1" w:themeFillShade="BF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235" w:type="pct"/>
            <w:gridSpan w:val="2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1</w:t>
            </w:r>
            <w:r w:rsidRPr="00210FE8">
              <w:rPr>
                <w:rFonts w:ascii="Arial Narrow" w:hAnsi="Arial Narrow"/>
                <w:szCs w:val="20"/>
                <w:vertAlign w:val="superscript"/>
              </w:rPr>
              <w:t>st</w:t>
            </w:r>
            <w:r w:rsidRPr="00210FE8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5" w:type="pct"/>
            <w:gridSpan w:val="2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2</w:t>
            </w:r>
            <w:r w:rsidRPr="00210FE8">
              <w:rPr>
                <w:rFonts w:ascii="Arial Narrow" w:hAnsi="Arial Narrow"/>
                <w:szCs w:val="20"/>
                <w:vertAlign w:val="superscript"/>
              </w:rPr>
              <w:t>nd</w:t>
            </w:r>
            <w:r w:rsidRPr="00210FE8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4" w:type="pct"/>
            <w:gridSpan w:val="2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3</w:t>
            </w:r>
            <w:r w:rsidRPr="00210FE8">
              <w:rPr>
                <w:rFonts w:ascii="Arial Narrow" w:hAnsi="Arial Narrow"/>
                <w:szCs w:val="20"/>
                <w:vertAlign w:val="superscript"/>
              </w:rPr>
              <w:t>rd</w:t>
            </w:r>
            <w:r w:rsidRPr="00210FE8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38" w:type="pct"/>
            <w:gridSpan w:val="2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  <w:r w:rsidRPr="00210FE8">
              <w:rPr>
                <w:rFonts w:ascii="Arial Narrow" w:hAnsi="Arial Narrow"/>
                <w:szCs w:val="20"/>
              </w:rPr>
              <w:t>4</w:t>
            </w:r>
            <w:r w:rsidRPr="00210FE8">
              <w:rPr>
                <w:rFonts w:ascii="Arial Narrow" w:hAnsi="Arial Narrow"/>
                <w:szCs w:val="20"/>
                <w:vertAlign w:val="superscript"/>
              </w:rPr>
              <w:t>th</w:t>
            </w:r>
          </w:p>
        </w:tc>
        <w:tc>
          <w:tcPr>
            <w:tcW w:w="1308" w:type="pct"/>
            <w:vMerge/>
            <w:shd w:val="clear" w:color="auto" w:fill="FFFFFF" w:themeFill="background1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904" w:type="pct"/>
            <w:gridSpan w:val="2"/>
            <w:vMerge/>
            <w:shd w:val="clear" w:color="auto" w:fill="FFFFFF" w:themeFill="background1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  <w:tc>
          <w:tcPr>
            <w:tcW w:w="889" w:type="pct"/>
            <w:gridSpan w:val="2"/>
            <w:vMerge/>
            <w:shd w:val="clear" w:color="auto" w:fill="FFFFFF" w:themeFill="background1"/>
          </w:tcPr>
          <w:p w:rsidR="009422B0" w:rsidRPr="00210FE8" w:rsidRDefault="009422B0" w:rsidP="00D135BF">
            <w:pPr>
              <w:ind w:left="0" w:firstLine="0"/>
              <w:rPr>
                <w:rFonts w:ascii="Arial Narrow" w:hAnsi="Arial Narrow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5000" w:type="pct"/>
            <w:gridSpan w:val="15"/>
          </w:tcPr>
          <w:p w:rsidR="00003DDE" w:rsidRPr="00A317FA" w:rsidRDefault="00467E9E" w:rsidP="0096587A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7FA">
              <w:rPr>
                <w:rFonts w:ascii="Arial Narrow" w:hAnsi="Arial Narrow"/>
                <w:sz w:val="20"/>
                <w:szCs w:val="20"/>
              </w:rPr>
              <w:t>Grade 9-10</w:t>
            </w:r>
            <w:r w:rsidR="00003DDE" w:rsidRPr="00A317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587A" w:rsidRPr="00A317FA">
              <w:rPr>
                <w:rFonts w:ascii="Arial Narrow" w:hAnsi="Arial Narrow"/>
                <w:sz w:val="20"/>
                <w:szCs w:val="20"/>
              </w:rPr>
              <w:t>Writ</w:t>
            </w:r>
            <w:r w:rsidR="00003DDE" w:rsidRPr="00A317FA">
              <w:rPr>
                <w:rFonts w:ascii="Arial Narrow" w:hAnsi="Arial Narrow"/>
                <w:sz w:val="20"/>
                <w:szCs w:val="20"/>
              </w:rPr>
              <w:t>ing Standards for Literacy in History/Social Studies</w:t>
            </w:r>
            <w:r w:rsidR="0096587A" w:rsidRPr="00A317FA">
              <w:rPr>
                <w:rFonts w:ascii="Arial Narrow" w:hAnsi="Arial Narrow"/>
                <w:sz w:val="20"/>
                <w:szCs w:val="20"/>
              </w:rPr>
              <w:t>, Science and Technical Subjects</w:t>
            </w: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6587A" w:rsidRPr="00A317FA" w:rsidRDefault="0096587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Italic"/>
                <w:i/>
                <w:iCs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 xml:space="preserve">1. Write arguments focused on </w:t>
            </w:r>
            <w:r w:rsidRPr="00A317FA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discipline-</w:t>
            </w:r>
            <w:r w:rsidR="00A317FA" w:rsidRPr="00A317FA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s</w:t>
            </w:r>
            <w:r w:rsidRPr="00A317FA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pecific</w:t>
            </w:r>
            <w:r w:rsidR="00A317FA" w:rsidRPr="00A317FA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content.</w:t>
            </w:r>
          </w:p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F87985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a. Introduce precise claim(s),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distinguish the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claim(s) from alternate or opposing claims,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create an organization that establishes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clear relationships among the claim(s),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counterclaims, reasons, and evidence.</w:t>
            </w:r>
          </w:p>
          <w:p w:rsidR="00A317FA" w:rsidRPr="00A317FA" w:rsidRDefault="00A317FA" w:rsidP="00A317FA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F87985">
            <w:pPr>
              <w:autoSpaceDE w:val="0"/>
              <w:autoSpaceDN w:val="0"/>
              <w:adjustRightInd w:val="0"/>
              <w:ind w:left="359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F87985">
            <w:pPr>
              <w:autoSpaceDE w:val="0"/>
              <w:autoSpaceDN w:val="0"/>
              <w:adjustRightInd w:val="0"/>
              <w:ind w:left="359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b. Develop claim(s) and counterclaims fairly,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supplying data and evidence for each while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pointing out the strengths and limitations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of both claim(s) and counterclaims in a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discipline-appropriate form and in a manner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that anticipates the audience’s knowledge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level and concerns.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A317FA" w:rsidRPr="00A317FA" w:rsidRDefault="00A317FA" w:rsidP="0096587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F87985">
            <w:pPr>
              <w:autoSpaceDE w:val="0"/>
              <w:autoSpaceDN w:val="0"/>
              <w:adjustRightInd w:val="0"/>
              <w:ind w:left="359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c. Use words, phrases, and clauses to link the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major sections of the text, create cohesion,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clarify the relationships between claim(s)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reasons, between reasons and evidence,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between claim(s) and counterclaims.</w:t>
            </w:r>
          </w:p>
          <w:p w:rsidR="00A317FA" w:rsidRPr="00A317FA" w:rsidRDefault="00A317FA" w:rsidP="0096587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F87985">
            <w:pPr>
              <w:autoSpaceDE w:val="0"/>
              <w:autoSpaceDN w:val="0"/>
              <w:adjustRightInd w:val="0"/>
              <w:ind w:left="359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d. Establish and maintain a formal style and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objective tone while attending to the norms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conventions of the discipline in which they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are writing.</w:t>
            </w:r>
          </w:p>
          <w:p w:rsidR="00A317FA" w:rsidRPr="00A317FA" w:rsidRDefault="00A317FA" w:rsidP="0096587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F87985">
            <w:pPr>
              <w:autoSpaceDE w:val="0"/>
              <w:autoSpaceDN w:val="0"/>
              <w:adjustRightInd w:val="0"/>
              <w:ind w:left="359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e. Provide a concluding statement or section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that follows from or supports the argument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presented.</w:t>
            </w:r>
          </w:p>
          <w:p w:rsidR="00A317FA" w:rsidRPr="00A317FA" w:rsidRDefault="00A317FA" w:rsidP="0096587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6587A" w:rsidRDefault="0096587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2. Write informative/explanatory texts, including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the narration of historical events, scientific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procedures/ experiments, or technical processes.</w:t>
            </w:r>
          </w:p>
          <w:p w:rsidR="00A317FA" w:rsidRP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proofErr w:type="gramStart"/>
            <w:r w:rsidRPr="00A317FA">
              <w:rPr>
                <w:rFonts w:ascii="Arial Narrow" w:hAnsi="Arial Narrow" w:cs="Gotham-Book"/>
                <w:sz w:val="20"/>
                <w:szCs w:val="20"/>
              </w:rPr>
              <w:t>a</w:t>
            </w:r>
            <w:proofErr w:type="gramEnd"/>
            <w:r w:rsidRPr="00A317FA">
              <w:rPr>
                <w:rFonts w:ascii="Arial Narrow" w:hAnsi="Arial Narrow" w:cs="Gotham-Book"/>
                <w:sz w:val="20"/>
                <w:szCs w:val="20"/>
              </w:rPr>
              <w:t>. Introduce a topic and organize ideas,</w:t>
            </w:r>
            <w:r w:rsidR="00F87985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concepts, and information to make important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connections and distinctions; include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formatting (e.g., headings), graphics (e.g.,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figures, tables), and multimedia when useful to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aiding comprehension.</w:t>
            </w:r>
          </w:p>
          <w:p w:rsidR="00A317FA" w:rsidRPr="00A317FA" w:rsidRDefault="00A317F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A317F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b. Develop the topic with well-chosen, relevant,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sufficient facts, extended definitions,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concrete details, quotations, or other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information and examples appropriate to the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audience’s knowledge of the topic.</w:t>
            </w:r>
          </w:p>
          <w:p w:rsidR="00A317FA" w:rsidRPr="00A317FA" w:rsidRDefault="00A317FA" w:rsidP="00A317F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A317F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c. Use varied transitions and sentence structures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to link the major sections of the text, create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cohesion, and clarify the relationships among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ideas and concepts.</w:t>
            </w:r>
          </w:p>
          <w:p w:rsidR="00A317FA" w:rsidRPr="00A317FA" w:rsidRDefault="00A317FA" w:rsidP="00A317F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d. Use precise language and domain-specific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vocabulary to manage the complexity of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 xml:space="preserve">the topic and convey a style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lastRenderedPageBreak/>
              <w:t>appropriate to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the discipline and context as well as to the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expertise of likely readers.</w:t>
            </w:r>
          </w:p>
          <w:p w:rsidR="00A317FA" w:rsidRPr="00A317FA" w:rsidRDefault="00A317F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587A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96587A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e. Establish and maintain a formal style and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objective tone while attending to the norms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and conventions of the discipline in which they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are writing.</w:t>
            </w:r>
          </w:p>
          <w:p w:rsidR="00A317FA" w:rsidRP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96587A" w:rsidRPr="00A317FA" w:rsidRDefault="0096587A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3DDE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A317FA" w:rsidRDefault="00A317FA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003DDE" w:rsidRDefault="0096587A" w:rsidP="00A317FA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A317FA">
              <w:rPr>
                <w:rFonts w:ascii="Arial Narrow" w:hAnsi="Arial Narrow" w:cs="Gotham-Book"/>
                <w:sz w:val="20"/>
                <w:szCs w:val="20"/>
              </w:rPr>
              <w:t>f. Provide a concluding statement or section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that follows from and supports the information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or explanation presented (e.g., articulating</w:t>
            </w:r>
            <w:r w:rsidR="00A317FA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A317FA">
              <w:rPr>
                <w:rFonts w:ascii="Arial Narrow" w:hAnsi="Arial Narrow" w:cs="Gotham-Book"/>
                <w:sz w:val="20"/>
                <w:szCs w:val="20"/>
              </w:rPr>
              <w:t>implications or the significance of the topic).</w:t>
            </w:r>
          </w:p>
          <w:p w:rsidR="00A317FA" w:rsidRPr="00A317FA" w:rsidRDefault="00A317FA" w:rsidP="0096587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003DDE" w:rsidRPr="00A317FA" w:rsidRDefault="00003DDE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5FC9" w:rsidRPr="00A317FA" w:rsidTr="009422B0">
        <w:tblPrEx>
          <w:tblCellMar>
            <w:left w:w="29" w:type="dxa"/>
            <w:right w:w="115" w:type="dxa"/>
          </w:tblCellMar>
        </w:tblPrEx>
        <w:tc>
          <w:tcPr>
            <w:tcW w:w="972" w:type="pct"/>
            <w:gridSpan w:val="3"/>
          </w:tcPr>
          <w:p w:rsidR="00215FC9" w:rsidRDefault="00215FC9" w:rsidP="0096587A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>
              <w:rPr>
                <w:rFonts w:ascii="Arial Narrow" w:hAnsi="Arial Narrow" w:cs="Gotham-Book"/>
                <w:sz w:val="20"/>
                <w:szCs w:val="20"/>
              </w:rPr>
              <w:t>3.  See Note; not applicable as a separate requirement</w:t>
            </w:r>
          </w:p>
        </w:tc>
        <w:tc>
          <w:tcPr>
            <w:tcW w:w="229" w:type="pct"/>
            <w:gridSpan w:val="2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" w:type="pct"/>
            <w:gridSpan w:val="2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" w:type="pct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" w:type="pct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0" w:type="pct"/>
            <w:gridSpan w:val="3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0" w:type="pct"/>
          </w:tcPr>
          <w:p w:rsidR="00215FC9" w:rsidRPr="00A317FA" w:rsidRDefault="00215FC9" w:rsidP="003F153C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15FC9" w:rsidRDefault="00215FC9" w:rsidP="00EA6FE9">
      <w:pPr>
        <w:autoSpaceDE w:val="0"/>
        <w:autoSpaceDN w:val="0"/>
        <w:adjustRightInd w:val="0"/>
        <w:ind w:left="0" w:firstLine="0"/>
        <w:rPr>
          <w:rFonts w:ascii="Arial Narrow" w:hAnsi="Arial Narrow" w:cs="Gotham-Bold"/>
          <w:b/>
          <w:bCs/>
          <w:sz w:val="20"/>
          <w:szCs w:val="20"/>
        </w:rPr>
      </w:pPr>
    </w:p>
    <w:p w:rsidR="006A3CDF" w:rsidRPr="00A317FA" w:rsidRDefault="0075626E" w:rsidP="00EA6FE9">
      <w:pPr>
        <w:autoSpaceDE w:val="0"/>
        <w:autoSpaceDN w:val="0"/>
        <w:adjustRightInd w:val="0"/>
        <w:ind w:left="0" w:firstLine="0"/>
        <w:rPr>
          <w:rFonts w:ascii="Arial Narrow" w:hAnsi="Arial Narrow"/>
          <w:sz w:val="20"/>
          <w:szCs w:val="20"/>
        </w:rPr>
      </w:pPr>
      <w:r w:rsidRPr="00A317FA">
        <w:rPr>
          <w:rFonts w:ascii="Arial Narrow" w:hAnsi="Arial Narrow" w:cs="Gotham-Bold"/>
          <w:b/>
          <w:bCs/>
          <w:sz w:val="20"/>
          <w:szCs w:val="20"/>
        </w:rPr>
        <w:t xml:space="preserve">Note: </w:t>
      </w:r>
      <w:r w:rsidRPr="00A317FA">
        <w:rPr>
          <w:rFonts w:ascii="Arial Narrow" w:hAnsi="Arial Narrow" w:cs="Gotham-Book"/>
          <w:sz w:val="20"/>
          <w:szCs w:val="20"/>
        </w:rPr>
        <w:t>Students’ narrative skills continue to grow in these grades. The Standards require that students be able to incorporate narrative elements effectively into</w:t>
      </w:r>
      <w:r w:rsidR="00EA6FE9">
        <w:rPr>
          <w:rFonts w:ascii="Arial Narrow" w:hAnsi="Arial Narrow" w:cs="Gotham-Book"/>
          <w:sz w:val="20"/>
          <w:szCs w:val="20"/>
        </w:rPr>
        <w:t xml:space="preserve"> </w:t>
      </w:r>
      <w:r w:rsidRPr="00A317FA">
        <w:rPr>
          <w:rFonts w:ascii="Arial Narrow" w:hAnsi="Arial Narrow" w:cs="Gotham-Book"/>
          <w:sz w:val="20"/>
          <w:szCs w:val="20"/>
        </w:rPr>
        <w:t>arguments and informative/explanatory texts. In history/social studies, students must be able to incorporate narrative accounts into their analyses of</w:t>
      </w:r>
      <w:r w:rsidR="00EA6FE9">
        <w:rPr>
          <w:rFonts w:ascii="Arial Narrow" w:hAnsi="Arial Narrow" w:cs="Gotham-Book"/>
          <w:sz w:val="20"/>
          <w:szCs w:val="20"/>
        </w:rPr>
        <w:t xml:space="preserve"> </w:t>
      </w:r>
      <w:r w:rsidRPr="00A317FA">
        <w:rPr>
          <w:rFonts w:ascii="Arial Narrow" w:hAnsi="Arial Narrow" w:cs="Gotham-Book"/>
          <w:sz w:val="20"/>
          <w:szCs w:val="20"/>
        </w:rPr>
        <w:t>individuals or events of historical import. In science and technical subjects, students must be able to write precise enough descriptions of the step-by-step</w:t>
      </w:r>
      <w:r w:rsidR="00EA6FE9">
        <w:rPr>
          <w:rFonts w:ascii="Arial Narrow" w:hAnsi="Arial Narrow" w:cs="Gotham-Book"/>
          <w:sz w:val="20"/>
          <w:szCs w:val="20"/>
        </w:rPr>
        <w:t xml:space="preserve"> </w:t>
      </w:r>
      <w:r w:rsidRPr="00A317FA">
        <w:rPr>
          <w:rFonts w:ascii="Arial Narrow" w:hAnsi="Arial Narrow" w:cs="Gotham-Book"/>
          <w:sz w:val="20"/>
          <w:szCs w:val="20"/>
        </w:rPr>
        <w:t>procedures they use in their investigations or technical work that others can replicate them and (possibly) reach the same results.</w:t>
      </w:r>
    </w:p>
    <w:sectPr w:rsidR="006A3CDF" w:rsidRPr="00A317FA" w:rsidSect="0034637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3DDE"/>
    <w:rsid w:val="00003DDE"/>
    <w:rsid w:val="001621F3"/>
    <w:rsid w:val="00215FC9"/>
    <w:rsid w:val="002A6E07"/>
    <w:rsid w:val="0034637E"/>
    <w:rsid w:val="00467E9E"/>
    <w:rsid w:val="004A70CD"/>
    <w:rsid w:val="004F57B6"/>
    <w:rsid w:val="005C279E"/>
    <w:rsid w:val="006A3CDF"/>
    <w:rsid w:val="006D3084"/>
    <w:rsid w:val="0075626E"/>
    <w:rsid w:val="0078486E"/>
    <w:rsid w:val="00792DC6"/>
    <w:rsid w:val="009422B0"/>
    <w:rsid w:val="0096587A"/>
    <w:rsid w:val="00A317FA"/>
    <w:rsid w:val="00E94590"/>
    <w:rsid w:val="00EA6FE9"/>
    <w:rsid w:val="00F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DE"/>
    <w:pPr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D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9</cp:revision>
  <dcterms:created xsi:type="dcterms:W3CDTF">2011-03-16T14:50:00Z</dcterms:created>
  <dcterms:modified xsi:type="dcterms:W3CDTF">2011-06-29T16:09:00Z</dcterms:modified>
</cp:coreProperties>
</file>