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E7" w:rsidRPr="00AC11E7" w:rsidRDefault="00AC11E7" w:rsidP="00AC11E7">
      <w:pPr>
        <w:spacing w:line="240" w:lineRule="auto"/>
        <w:jc w:val="center"/>
        <w:rPr>
          <w:rFonts w:ascii="Arial Narrow" w:eastAsia="Nunito" w:hAnsi="Arial Narrow" w:cs="Nunito"/>
          <w:b/>
          <w:sz w:val="24"/>
          <w:szCs w:val="24"/>
        </w:rPr>
      </w:pPr>
      <w:r w:rsidRPr="00AC11E7">
        <w:rPr>
          <w:rFonts w:ascii="Arial Narrow" w:eastAsia="Nunito" w:hAnsi="Arial Narrow" w:cs="Nunito"/>
          <w:b/>
          <w:sz w:val="24"/>
          <w:szCs w:val="24"/>
        </w:rPr>
        <w:t>Chapter 4 – Civil Liberties and Public Policy</w:t>
      </w: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What was the most important difference between the Supreme Court’s decision in </w:t>
      </w:r>
      <w:r w:rsidRPr="00AC11E7">
        <w:rPr>
          <w:rFonts w:ascii="Arial Narrow" w:eastAsia="Nunito" w:hAnsi="Arial Narrow" w:cs="Nunito"/>
          <w:i/>
          <w:color w:val="000000"/>
          <w:sz w:val="24"/>
          <w:szCs w:val="24"/>
        </w:rPr>
        <w:t>Barron v. Baltimore</w:t>
      </w:r>
      <w:r w:rsidRPr="00AC11E7">
        <w:rPr>
          <w:rFonts w:ascii="Arial Narrow" w:eastAsia="Nunito" w:hAnsi="Arial Narrow" w:cs="Nunito"/>
          <w:color w:val="000000"/>
          <w:sz w:val="24"/>
          <w:szCs w:val="24"/>
        </w:rPr>
        <w:t xml:space="preserve"> and the one in </w:t>
      </w:r>
      <w:r w:rsidRPr="00AC11E7">
        <w:rPr>
          <w:rFonts w:ascii="Arial Narrow" w:eastAsia="Nunito" w:hAnsi="Arial Narrow" w:cs="Nunito"/>
          <w:i/>
          <w:color w:val="000000"/>
          <w:sz w:val="24"/>
          <w:szCs w:val="24"/>
        </w:rPr>
        <w:t>Gitlow v. New York</w:t>
      </w:r>
      <w:r w:rsidRPr="00AC11E7">
        <w:rPr>
          <w:rFonts w:ascii="Arial Narrow" w:eastAsia="Nunito" w:hAnsi="Arial Narrow" w:cs="Nunito"/>
          <w:color w:val="000000"/>
          <w:sz w:val="24"/>
          <w:szCs w:val="24"/>
        </w:rPr>
        <w:t>?</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Explain the importance of the Fourteenth Amendment</w:t>
      </w:r>
      <w:r w:rsidRPr="00AC11E7">
        <w:rPr>
          <w:rFonts w:ascii="Arial Narrow" w:eastAsia="Nunito" w:hAnsi="Arial Narrow" w:cs="Nunito"/>
          <w:sz w:val="24"/>
          <w:szCs w:val="24"/>
        </w:rPr>
        <w:t xml:space="preserve"> in the doctrine of </w:t>
      </w:r>
      <w:r w:rsidRPr="00AC11E7">
        <w:rPr>
          <w:rFonts w:ascii="Arial Narrow" w:eastAsia="Nunito" w:hAnsi="Arial Narrow" w:cs="Nunito"/>
          <w:b/>
          <w:sz w:val="24"/>
          <w:szCs w:val="24"/>
        </w:rPr>
        <w:t>selective incorporation</w:t>
      </w:r>
      <w:r w:rsidRPr="00AC11E7">
        <w:rPr>
          <w:rFonts w:ascii="Arial Narrow" w:eastAsia="Nunito" w:hAnsi="Arial Narrow" w:cs="Nunito"/>
          <w:sz w:val="24"/>
          <w:szCs w:val="24"/>
        </w:rPr>
        <w:t>.</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Take a look at the Table 4.2. Which freedom in the Bill or Rights was most recently incorporated and what was the court case?</w:t>
      </w:r>
      <w:r>
        <w:rPr>
          <w:rFonts w:ascii="Arial Narrow" w:eastAsia="Nunito" w:hAnsi="Arial Narrow" w:cs="Nunito"/>
          <w:sz w:val="24"/>
          <w:szCs w:val="24"/>
        </w:rPr>
        <w:t xml:space="preserve"> </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List four Supreme Court cases concerning the establishment clause and comment on the significance of each.</w:t>
      </w:r>
    </w:p>
    <w:p w:rsidR="00AC11E7" w:rsidRPr="00AC11E7" w:rsidRDefault="00AC11E7" w:rsidP="00AC11E7">
      <w:pPr>
        <w:numPr>
          <w:ilvl w:val="1"/>
          <w:numId w:val="3"/>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3"/>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3"/>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3"/>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0"/>
          <w:numId w:val="3"/>
        </w:numPr>
        <w:spacing w:line="240" w:lineRule="auto"/>
        <w:ind w:left="360"/>
        <w:rPr>
          <w:rFonts w:ascii="Arial Narrow" w:eastAsia="Nunito" w:hAnsi="Arial Narrow" w:cs="Nunito"/>
          <w:sz w:val="24"/>
          <w:szCs w:val="24"/>
        </w:rPr>
      </w:pP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 xml:space="preserve">Engel v. Vitale </w:t>
      </w:r>
      <w:r w:rsidRPr="00AC11E7">
        <w:rPr>
          <w:rFonts w:ascii="Arial Narrow" w:eastAsia="Nunito" w:hAnsi="Arial Narrow" w:cs="Nunito"/>
          <w:b/>
          <w:sz w:val="24"/>
          <w:szCs w:val="24"/>
        </w:rPr>
        <w:t>(1962)</w:t>
      </w:r>
      <w:r>
        <w:rPr>
          <w:rFonts w:ascii="Arial Narrow" w:eastAsia="Nunito" w:hAnsi="Arial Narrow" w:cs="Nunito"/>
          <w:sz w:val="24"/>
          <w:szCs w:val="24"/>
        </w:rPr>
        <w:t xml:space="preserve"> </w:t>
      </w:r>
      <w:r w:rsidRPr="00AC11E7">
        <w:rPr>
          <w:rFonts w:ascii="Arial Narrow" w:eastAsia="Nunito" w:hAnsi="Arial Narrow" w:cs="Nunito"/>
          <w:sz w:val="24"/>
          <w:szCs w:val="24"/>
        </w:rPr>
        <w:t>*You may reference</w:t>
      </w:r>
      <w:hyperlink r:id="rId6">
        <w:r w:rsidRPr="00AC11E7">
          <w:rPr>
            <w:rFonts w:ascii="Arial Narrow" w:eastAsia="Nunito" w:hAnsi="Arial Narrow" w:cs="Nunito"/>
            <w:color w:val="1155CC"/>
            <w:sz w:val="24"/>
            <w:szCs w:val="24"/>
            <w:u w:val="single"/>
          </w:rPr>
          <w:t xml:space="preserve"> oyez.com</w:t>
        </w:r>
      </w:hyperlink>
      <w:r w:rsidRPr="00AC11E7">
        <w:rPr>
          <w:rFonts w:ascii="Arial Narrow" w:eastAsia="Nunito" w:hAnsi="Arial Narrow" w:cs="Nunito"/>
          <w:sz w:val="24"/>
          <w:szCs w:val="24"/>
        </w:rPr>
        <w:t xml:space="preserve"> for additional information.</w:t>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r w:rsidRPr="00AC11E7">
        <w:rPr>
          <w:rFonts w:ascii="Arial Narrow" w:eastAsia="Nunito" w:hAnsi="Arial Narrow" w:cs="Nunito"/>
          <w:sz w:val="24"/>
          <w:szCs w:val="24"/>
        </w:rPr>
        <w:t xml:space="preserve">  </w:t>
      </w: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are the limitations on the free exercise of religion?</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 xml:space="preserve"> </w:t>
      </w: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 xml:space="preserve">Wisconsin v. Yoder </w:t>
      </w:r>
      <w:r>
        <w:rPr>
          <w:rFonts w:ascii="Arial Narrow" w:eastAsia="Nunito" w:hAnsi="Arial Narrow" w:cs="Nunito"/>
          <w:sz w:val="24"/>
          <w:szCs w:val="24"/>
        </w:rPr>
        <w:t xml:space="preserve">(1972) </w:t>
      </w:r>
      <w:r w:rsidRPr="00AC11E7">
        <w:rPr>
          <w:rFonts w:ascii="Arial Narrow" w:eastAsia="Nunito" w:hAnsi="Arial Narrow" w:cs="Nunito"/>
          <w:sz w:val="24"/>
          <w:szCs w:val="24"/>
        </w:rPr>
        <w:t>*You may reference</w:t>
      </w:r>
      <w:hyperlink r:id="rId7">
        <w:r w:rsidRPr="00AC11E7">
          <w:rPr>
            <w:rFonts w:ascii="Arial Narrow" w:eastAsia="Nunito" w:hAnsi="Arial Narrow" w:cs="Nunito"/>
            <w:color w:val="1155CC"/>
            <w:sz w:val="24"/>
            <w:szCs w:val="24"/>
            <w:u w:val="single"/>
          </w:rPr>
          <w:t xml:space="preserve"> oyez.com</w:t>
        </w:r>
      </w:hyperlink>
      <w:r w:rsidRPr="00AC11E7">
        <w:rPr>
          <w:rFonts w:ascii="Arial Narrow" w:eastAsia="Nunito" w:hAnsi="Arial Narrow" w:cs="Nunito"/>
          <w:sz w:val="24"/>
          <w:szCs w:val="24"/>
        </w:rPr>
        <w:t xml:space="preserve"> for additional information.</w:t>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is prior restraint, and how is it connected to freedom of the press?</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b/>
          <w:sz w:val="24"/>
          <w:szCs w:val="24"/>
        </w:rPr>
        <w:lastRenderedPageBreak/>
        <w:t xml:space="preserve">REQUIRED COURT CASE: </w:t>
      </w:r>
      <w:r w:rsidRPr="00AC11E7">
        <w:rPr>
          <w:rFonts w:ascii="Arial Narrow" w:eastAsia="Nunito" w:hAnsi="Arial Narrow" w:cs="Nunito"/>
          <w:b/>
          <w:i/>
          <w:sz w:val="24"/>
          <w:szCs w:val="24"/>
        </w:rPr>
        <w:t xml:space="preserve">New York Times Co.  v. United States </w:t>
      </w:r>
      <w:r w:rsidRPr="00AC11E7">
        <w:rPr>
          <w:rFonts w:ascii="Arial Narrow" w:eastAsia="Nunito" w:hAnsi="Arial Narrow" w:cs="Nunito"/>
          <w:b/>
          <w:sz w:val="24"/>
          <w:szCs w:val="24"/>
        </w:rPr>
        <w:t>(1972)</w:t>
      </w:r>
      <w:r>
        <w:rPr>
          <w:rFonts w:ascii="Arial Narrow" w:eastAsia="Nunito" w:hAnsi="Arial Narrow" w:cs="Nunito"/>
          <w:sz w:val="24"/>
          <w:szCs w:val="24"/>
        </w:rPr>
        <w:t xml:space="preserve"> </w:t>
      </w:r>
      <w:r w:rsidRPr="00AC11E7">
        <w:rPr>
          <w:rFonts w:ascii="Arial Narrow" w:eastAsia="Nunito" w:hAnsi="Arial Narrow" w:cs="Nunito"/>
          <w:sz w:val="24"/>
          <w:szCs w:val="24"/>
        </w:rPr>
        <w:t>*Info found in “</w:t>
      </w:r>
      <w:r w:rsidRPr="00AC11E7">
        <w:rPr>
          <w:rFonts w:ascii="Arial Narrow" w:eastAsia="Nunito" w:hAnsi="Arial Narrow" w:cs="Nunito"/>
          <w:b/>
          <w:sz w:val="24"/>
          <w:szCs w:val="24"/>
        </w:rPr>
        <w:t>You</w:t>
      </w:r>
      <w:r w:rsidRPr="00AC11E7">
        <w:rPr>
          <w:rFonts w:ascii="Arial Narrow" w:eastAsia="Nunito" w:hAnsi="Arial Narrow" w:cs="Nunito"/>
          <w:sz w:val="24"/>
          <w:szCs w:val="24"/>
        </w:rPr>
        <w:t xml:space="preserve"> Are the Judge” Section</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 xml:space="preserve">Schenck v. United States </w:t>
      </w:r>
      <w:r w:rsidRPr="00AC11E7">
        <w:rPr>
          <w:rFonts w:ascii="Arial Narrow" w:eastAsia="Nunito" w:hAnsi="Arial Narrow" w:cs="Nunito"/>
          <w:b/>
          <w:sz w:val="24"/>
          <w:szCs w:val="24"/>
        </w:rPr>
        <w:t>(1919)</w:t>
      </w:r>
      <w:r>
        <w:rPr>
          <w:rFonts w:ascii="Arial Narrow" w:eastAsia="Nunito" w:hAnsi="Arial Narrow" w:cs="Nunito"/>
          <w:sz w:val="24"/>
          <w:szCs w:val="24"/>
        </w:rPr>
        <w:t xml:space="preserve"> </w:t>
      </w:r>
      <w:r w:rsidRPr="00AC11E7">
        <w:rPr>
          <w:rFonts w:ascii="Arial Narrow" w:eastAsia="Nunito" w:hAnsi="Arial Narrow" w:cs="Nunito"/>
          <w:sz w:val="24"/>
          <w:szCs w:val="24"/>
        </w:rPr>
        <w:t>*You may reference</w:t>
      </w:r>
      <w:hyperlink r:id="rId8">
        <w:r w:rsidRPr="00AC11E7">
          <w:rPr>
            <w:rFonts w:ascii="Arial Narrow" w:eastAsia="Nunito" w:hAnsi="Arial Narrow" w:cs="Nunito"/>
            <w:color w:val="1155CC"/>
            <w:sz w:val="24"/>
            <w:szCs w:val="24"/>
            <w:u w:val="single"/>
          </w:rPr>
          <w:t xml:space="preserve"> oyez.com</w:t>
        </w:r>
      </w:hyperlink>
      <w:r w:rsidRPr="00AC11E7">
        <w:rPr>
          <w:rFonts w:ascii="Arial Narrow" w:eastAsia="Nunito" w:hAnsi="Arial Narrow" w:cs="Nunito"/>
          <w:sz w:val="24"/>
          <w:szCs w:val="24"/>
        </w:rPr>
        <w:t xml:space="preserve"> for additional information.</w:t>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numPr>
          <w:ilvl w:val="0"/>
          <w:numId w:val="3"/>
        </w:numPr>
        <w:spacing w:line="240" w:lineRule="auto"/>
        <w:ind w:left="360"/>
        <w:rPr>
          <w:rFonts w:ascii="Arial Narrow" w:eastAsia="Nunito" w:hAnsi="Arial Narrow" w:cs="Nunito"/>
          <w:sz w:val="24"/>
          <w:szCs w:val="24"/>
        </w:rPr>
      </w:pPr>
      <w:r w:rsidRPr="00AC11E7">
        <w:rPr>
          <w:rFonts w:ascii="Arial Narrow" w:eastAsia="Nunito" w:hAnsi="Arial Narrow" w:cs="Nunito"/>
          <w:sz w:val="24"/>
          <w:szCs w:val="24"/>
        </w:rPr>
        <w:t>Identify examples where the Supreme Court has limited speech in regards to defamatory, offensive and obscene statements and gestures.</w:t>
      </w:r>
    </w:p>
    <w:p w:rsidR="00AC11E7" w:rsidRPr="00AC11E7" w:rsidRDefault="00AC11E7" w:rsidP="00AC11E7">
      <w:pPr>
        <w:numPr>
          <w:ilvl w:val="0"/>
          <w:numId w:val="2"/>
        </w:numPr>
        <w:spacing w:line="240" w:lineRule="auto"/>
        <w:ind w:left="990"/>
        <w:rPr>
          <w:rFonts w:ascii="Arial Narrow" w:eastAsia="Nunito" w:hAnsi="Arial Narrow" w:cs="Nunito"/>
          <w:sz w:val="24"/>
          <w:szCs w:val="24"/>
        </w:rPr>
      </w:pPr>
      <w:r w:rsidRPr="00AC11E7">
        <w:rPr>
          <w:rFonts w:ascii="Arial Narrow" w:eastAsia="Nunito" w:hAnsi="Arial Narrow" w:cs="Nunito"/>
          <w:sz w:val="24"/>
          <w:szCs w:val="24"/>
        </w:rPr>
        <w:t>Obscenity</w:t>
      </w:r>
    </w:p>
    <w:p w:rsidR="00AC11E7" w:rsidRPr="00AC11E7" w:rsidRDefault="00AC11E7" w:rsidP="00AC11E7">
      <w:pPr>
        <w:spacing w:line="240" w:lineRule="auto"/>
        <w:ind w:left="990" w:hanging="360"/>
        <w:rPr>
          <w:rFonts w:ascii="Arial Narrow" w:eastAsia="Nunito" w:hAnsi="Arial Narrow" w:cs="Nunito"/>
          <w:sz w:val="24"/>
          <w:szCs w:val="24"/>
        </w:rPr>
      </w:pPr>
    </w:p>
    <w:p w:rsidR="00AC11E7" w:rsidRPr="00AC11E7" w:rsidRDefault="00AC11E7" w:rsidP="00AC11E7">
      <w:pPr>
        <w:spacing w:line="240" w:lineRule="auto"/>
        <w:ind w:left="990" w:hanging="360"/>
        <w:rPr>
          <w:rFonts w:ascii="Arial Narrow" w:eastAsia="Nunito" w:hAnsi="Arial Narrow" w:cs="Nunito"/>
          <w:sz w:val="24"/>
          <w:szCs w:val="24"/>
        </w:rPr>
      </w:pPr>
    </w:p>
    <w:p w:rsidR="00AC11E7" w:rsidRPr="00AC11E7" w:rsidRDefault="00AC11E7" w:rsidP="00AC11E7">
      <w:pPr>
        <w:numPr>
          <w:ilvl w:val="0"/>
          <w:numId w:val="2"/>
        </w:numPr>
        <w:spacing w:line="240" w:lineRule="auto"/>
        <w:ind w:left="990"/>
        <w:rPr>
          <w:rFonts w:ascii="Arial Narrow" w:eastAsia="Nunito" w:hAnsi="Arial Narrow" w:cs="Nunito"/>
          <w:sz w:val="24"/>
          <w:szCs w:val="24"/>
        </w:rPr>
      </w:pPr>
      <w:r w:rsidRPr="00AC11E7">
        <w:rPr>
          <w:rFonts w:ascii="Arial Narrow" w:eastAsia="Nunito" w:hAnsi="Arial Narrow" w:cs="Nunito"/>
          <w:sz w:val="24"/>
          <w:szCs w:val="24"/>
        </w:rPr>
        <w:t>Libel and Slander</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How are the standards for winning libel lawsuits different for public figures and private individuals?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is symbolic speech? Why is it protected? Are there any limitations to symbolic speech?</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spacing w:line="240" w:lineRule="auto"/>
        <w:ind w:left="360"/>
        <w:rPr>
          <w:rFonts w:ascii="Arial Narrow" w:eastAsia="Nunito" w:hAnsi="Arial Narrow" w:cs="Nunito"/>
          <w:sz w:val="24"/>
          <w:szCs w:val="24"/>
        </w:rPr>
      </w:pP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 xml:space="preserve">Tinker v. Des Moines </w:t>
      </w:r>
      <w:r w:rsidRPr="00AC11E7">
        <w:rPr>
          <w:rFonts w:ascii="Arial Narrow" w:eastAsia="Nunito" w:hAnsi="Arial Narrow" w:cs="Nunito"/>
          <w:b/>
          <w:sz w:val="24"/>
          <w:szCs w:val="24"/>
        </w:rPr>
        <w:t>(1969)</w:t>
      </w:r>
      <w:r>
        <w:rPr>
          <w:rFonts w:ascii="Arial Narrow" w:eastAsia="Nunito" w:hAnsi="Arial Narrow" w:cs="Nunito"/>
          <w:sz w:val="24"/>
          <w:szCs w:val="24"/>
        </w:rPr>
        <w:t xml:space="preserve"> </w:t>
      </w:r>
      <w:r w:rsidRPr="00AC11E7">
        <w:rPr>
          <w:rFonts w:ascii="Arial Narrow" w:eastAsia="Nunito" w:hAnsi="Arial Narrow" w:cs="Nunito"/>
          <w:sz w:val="24"/>
          <w:szCs w:val="24"/>
        </w:rPr>
        <w:t>*You may reference</w:t>
      </w:r>
      <w:hyperlink r:id="rId9">
        <w:r w:rsidRPr="00AC11E7">
          <w:rPr>
            <w:rFonts w:ascii="Arial Narrow" w:eastAsia="Nunito" w:hAnsi="Arial Narrow" w:cs="Nunito"/>
            <w:color w:val="1155CC"/>
            <w:sz w:val="24"/>
            <w:szCs w:val="24"/>
            <w:u w:val="single"/>
          </w:rPr>
          <w:t xml:space="preserve"> oyez.com</w:t>
        </w:r>
      </w:hyperlink>
      <w:r w:rsidRPr="00AC11E7">
        <w:rPr>
          <w:rFonts w:ascii="Arial Narrow" w:eastAsia="Nunito" w:hAnsi="Arial Narrow" w:cs="Nunito"/>
          <w:sz w:val="24"/>
          <w:szCs w:val="24"/>
        </w:rPr>
        <w:t xml:space="preserve"> for additional information.</w:t>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Why is commercial speech more restricted than other types of speech?</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 xml:space="preserve">Identify examples where the Supreme Court has limited speech in regards to time, place and manner regulations. </w:t>
      </w:r>
      <w:r w:rsidRPr="00AC11E7">
        <w:rPr>
          <w:rFonts w:ascii="Arial Narrow" w:eastAsia="Nunito" w:hAnsi="Arial Narrow" w:cs="Nunito"/>
          <w:color w:val="000000"/>
          <w:sz w:val="24"/>
          <w:szCs w:val="24"/>
        </w:rPr>
        <w:t>Explain two facets of the freedom of assembly.</w:t>
      </w:r>
    </w:p>
    <w:p w:rsidR="00AC11E7" w:rsidRPr="00AC11E7" w:rsidRDefault="00AC11E7" w:rsidP="00AC11E7">
      <w:pPr>
        <w:numPr>
          <w:ilvl w:val="1"/>
          <w:numId w:val="3"/>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3"/>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Explain the Supreme Court ruling in </w:t>
      </w:r>
      <w:r w:rsidRPr="00AC11E7">
        <w:rPr>
          <w:rFonts w:ascii="Arial Narrow" w:eastAsia="Nunito" w:hAnsi="Arial Narrow" w:cs="Nunito"/>
          <w:i/>
          <w:color w:val="000000"/>
          <w:sz w:val="24"/>
          <w:szCs w:val="24"/>
        </w:rPr>
        <w:t>District of Columbia v. Heller</w:t>
      </w:r>
      <w:r w:rsidRPr="00AC11E7">
        <w:rPr>
          <w:rFonts w:ascii="Arial Narrow" w:eastAsia="Nunito" w:hAnsi="Arial Narrow" w:cs="Nunito"/>
          <w:color w:val="000000"/>
          <w:sz w:val="24"/>
          <w:szCs w:val="24"/>
        </w:rPr>
        <w:t xml:space="preserve"> (2008).</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3"/>
        </w:numPr>
        <w:spacing w:line="240" w:lineRule="auto"/>
        <w:ind w:left="360"/>
        <w:rPr>
          <w:rFonts w:ascii="Arial Narrow" w:eastAsia="Nunito" w:hAnsi="Arial Narrow" w:cs="Nunito"/>
          <w:sz w:val="24"/>
          <w:szCs w:val="24"/>
        </w:rPr>
      </w:pP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 xml:space="preserve">McDonald v. Chicago </w:t>
      </w:r>
      <w:r w:rsidRPr="00AC11E7">
        <w:rPr>
          <w:rFonts w:ascii="Arial Narrow" w:eastAsia="Nunito" w:hAnsi="Arial Narrow" w:cs="Nunito"/>
          <w:b/>
          <w:sz w:val="24"/>
          <w:szCs w:val="24"/>
        </w:rPr>
        <w:t>(2010)</w:t>
      </w:r>
      <w:r>
        <w:rPr>
          <w:rFonts w:ascii="Arial Narrow" w:eastAsia="Nunito" w:hAnsi="Arial Narrow" w:cs="Nunito"/>
          <w:sz w:val="24"/>
          <w:szCs w:val="24"/>
        </w:rPr>
        <w:t xml:space="preserve"> </w:t>
      </w:r>
      <w:r w:rsidRPr="00AC11E7">
        <w:rPr>
          <w:rFonts w:ascii="Arial Narrow" w:eastAsia="Nunito" w:hAnsi="Arial Narrow" w:cs="Nunito"/>
          <w:sz w:val="24"/>
          <w:szCs w:val="24"/>
        </w:rPr>
        <w:t>*You may reference</w:t>
      </w:r>
      <w:hyperlink r:id="rId10">
        <w:r w:rsidRPr="00AC11E7">
          <w:rPr>
            <w:rFonts w:ascii="Arial Narrow" w:eastAsia="Nunito" w:hAnsi="Arial Narrow" w:cs="Nunito"/>
            <w:color w:val="1155CC"/>
            <w:sz w:val="24"/>
            <w:szCs w:val="24"/>
            <w:u w:val="single"/>
          </w:rPr>
          <w:t xml:space="preserve"> oyez.com</w:t>
        </w:r>
      </w:hyperlink>
      <w:r w:rsidRPr="00AC11E7">
        <w:rPr>
          <w:rFonts w:ascii="Arial Narrow" w:eastAsia="Nunito" w:hAnsi="Arial Narrow" w:cs="Nunito"/>
          <w:sz w:val="24"/>
          <w:szCs w:val="24"/>
        </w:rPr>
        <w:t xml:space="preserve"> for additional information.</w:t>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How are the following terms interrelated: probable cause, unreasonable searches and seizure, search warrant, and exclusionary rule?</w:t>
      </w:r>
      <w:r>
        <w:rPr>
          <w:rFonts w:ascii="Arial Narrow" w:eastAsia="Nunito" w:hAnsi="Arial Narrow" w:cs="Nunito"/>
          <w:color w:val="000000"/>
          <w:sz w:val="24"/>
          <w:szCs w:val="24"/>
        </w:rPr>
        <w:t xml:space="preserve"> </w:t>
      </w:r>
      <w:r w:rsidRPr="00AC11E7">
        <w:rPr>
          <w:rFonts w:ascii="Arial Narrow" w:eastAsia="Nunito" w:hAnsi="Arial Narrow" w:cs="Nunito"/>
          <w:color w:val="000000"/>
          <w:sz w:val="24"/>
          <w:szCs w:val="24"/>
        </w:rPr>
        <w:t xml:space="preserve"> </w:t>
      </w:r>
      <w:r w:rsidRPr="00AC11E7">
        <w:rPr>
          <w:rFonts w:ascii="Arial Narrow" w:eastAsia="Nunito" w:hAnsi="Arial Narrow" w:cs="Nunito"/>
          <w:sz w:val="24"/>
          <w:szCs w:val="24"/>
        </w:rPr>
        <w:t>In w</w:t>
      </w:r>
      <w:r w:rsidRPr="00AC11E7">
        <w:rPr>
          <w:rFonts w:ascii="Arial Narrow" w:eastAsia="Nunito" w:hAnsi="Arial Narrow" w:cs="Nunito"/>
          <w:color w:val="000000"/>
          <w:sz w:val="24"/>
          <w:szCs w:val="24"/>
        </w:rPr>
        <w:t>hich amendment are these rights found?</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How is the USA PATRIOT Act (2001) an example of the government limiting civil liberties?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r w:rsidRPr="00AC11E7">
        <w:rPr>
          <w:rFonts w:ascii="Arial Narrow" w:eastAsia="Nunito" w:hAnsi="Arial Narrow" w:cs="Nunito"/>
          <w:sz w:val="24"/>
          <w:szCs w:val="24"/>
        </w:rPr>
        <w:t>*TEXTBOOK UPDATE:  In 2015, after evidence showed that the bulk metadata collection was not necessary to prevent terrorist attacks, Congress passed the USA Freedom Act, which upheld certain portions of the Patriot Act but phased out bulk collection of phone and Internet data and set limits for its collection in certain circumstances. It also required the Executive Branch to acquire a warrant to examine the metadata.</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r w:rsidRPr="00AC11E7">
        <w:rPr>
          <w:rFonts w:ascii="Arial Narrow" w:eastAsia="Nunito" w:hAnsi="Arial Narrow" w:cs="Nunito"/>
          <w:sz w:val="24"/>
          <w:szCs w:val="24"/>
        </w:rPr>
        <w:t>Note: Be able to discuss whether or not the government regulation of firearms or collection of digital metadata promotes or interferes with public safety and individual rights.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3"/>
        </w:numPr>
        <w:spacing w:line="240" w:lineRule="auto"/>
        <w:ind w:left="360"/>
        <w:rPr>
          <w:rFonts w:ascii="Arial Narrow" w:eastAsia="Nunito" w:hAnsi="Arial Narrow" w:cs="Nunito"/>
          <w:sz w:val="24"/>
          <w:szCs w:val="24"/>
        </w:rPr>
      </w:pPr>
      <w:r w:rsidRPr="00AC11E7">
        <w:rPr>
          <w:rFonts w:ascii="Arial Narrow" w:eastAsia="Nunito" w:hAnsi="Arial Narrow" w:cs="Nunito"/>
          <w:sz w:val="24"/>
          <w:szCs w:val="24"/>
        </w:rPr>
        <w:t xml:space="preserve">What are the three guidelines for police questioning of suspects as set forth in </w:t>
      </w:r>
      <w:r w:rsidRPr="00AC11E7">
        <w:rPr>
          <w:rFonts w:ascii="Arial Narrow" w:eastAsia="Nunito" w:hAnsi="Arial Narrow" w:cs="Nunito"/>
          <w:i/>
          <w:sz w:val="24"/>
          <w:szCs w:val="24"/>
        </w:rPr>
        <w:t>Miranda v. Arizona</w:t>
      </w:r>
      <w:r w:rsidRPr="00AC11E7">
        <w:rPr>
          <w:rFonts w:ascii="Arial Narrow" w:eastAsia="Nunito" w:hAnsi="Arial Narrow" w:cs="Nunito"/>
          <w:sz w:val="24"/>
          <w:szCs w:val="24"/>
        </w:rPr>
        <w:t xml:space="preserve"> (1966)?</w:t>
      </w:r>
    </w:p>
    <w:p w:rsidR="00AC11E7" w:rsidRPr="00AC11E7" w:rsidRDefault="00AC11E7" w:rsidP="00AC11E7">
      <w:pPr>
        <w:numPr>
          <w:ilvl w:val="1"/>
          <w:numId w:val="3"/>
        </w:numPr>
        <w:spacing w:line="240" w:lineRule="auto"/>
        <w:rPr>
          <w:rFonts w:ascii="Arial Narrow" w:eastAsia="Nunito" w:hAnsi="Arial Narrow" w:cs="Nunito"/>
          <w:sz w:val="24"/>
          <w:szCs w:val="24"/>
        </w:rPr>
      </w:pPr>
    </w:p>
    <w:p w:rsidR="00AC11E7" w:rsidRPr="00AC11E7" w:rsidRDefault="00AC11E7" w:rsidP="00AC11E7">
      <w:pPr>
        <w:numPr>
          <w:ilvl w:val="1"/>
          <w:numId w:val="3"/>
        </w:numPr>
        <w:spacing w:line="240" w:lineRule="auto"/>
        <w:rPr>
          <w:rFonts w:ascii="Arial Narrow" w:eastAsia="Nunito" w:hAnsi="Arial Narrow" w:cs="Nunito"/>
          <w:sz w:val="24"/>
          <w:szCs w:val="24"/>
        </w:rPr>
      </w:pPr>
    </w:p>
    <w:p w:rsidR="00AC11E7" w:rsidRPr="00AC11E7" w:rsidRDefault="00AC11E7" w:rsidP="00AC11E7">
      <w:pPr>
        <w:numPr>
          <w:ilvl w:val="1"/>
          <w:numId w:val="3"/>
        </w:numP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3"/>
        </w:numPr>
        <w:spacing w:line="240" w:lineRule="auto"/>
        <w:ind w:left="360"/>
        <w:rPr>
          <w:rFonts w:ascii="Arial Narrow" w:eastAsia="Nunito" w:hAnsi="Arial Narrow" w:cs="Nunito"/>
          <w:b/>
          <w:sz w:val="24"/>
          <w:szCs w:val="24"/>
        </w:rPr>
      </w:pP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Gideon v. Wainwright</w:t>
      </w:r>
      <w:r w:rsidRPr="00AC11E7">
        <w:rPr>
          <w:rFonts w:ascii="Arial Narrow" w:eastAsia="Nunito" w:hAnsi="Arial Narrow" w:cs="Nunito"/>
          <w:b/>
          <w:sz w:val="24"/>
          <w:szCs w:val="24"/>
        </w:rPr>
        <w:t xml:space="preserve"> (1963)</w:t>
      </w:r>
      <w:r w:rsidRPr="00AC11E7">
        <w:rPr>
          <w:rFonts w:ascii="Arial Narrow" w:eastAsia="Nunito" w:hAnsi="Arial Narrow" w:cs="Nunito"/>
          <w:b/>
          <w:sz w:val="24"/>
          <w:szCs w:val="24"/>
        </w:rPr>
        <w:tab/>
      </w:r>
      <w:r w:rsidRPr="00AC11E7">
        <w:rPr>
          <w:rFonts w:ascii="Arial Narrow" w:eastAsia="Nunito" w:hAnsi="Arial Narrow" w:cs="Nunito"/>
          <w:b/>
          <w:sz w:val="24"/>
          <w:szCs w:val="24"/>
        </w:rPr>
        <w:tab/>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are the positives and negatives associated with plea bargaining?</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r w:rsidRPr="00AC11E7">
        <w:rPr>
          <w:rFonts w:ascii="Arial Narrow" w:eastAsia="Nunito" w:hAnsi="Arial Narrow" w:cs="Nunito"/>
          <w:sz w:val="24"/>
          <w:szCs w:val="24"/>
        </w:rPr>
        <w:tab/>
        <w:t>Pros: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Cons: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does the law constitute as cruel and unusual punishment found in the Eighth Amendment? What limitations has the federal government put on state death penalty cases over time?</w:t>
      </w:r>
    </w:p>
    <w:p w:rsidR="00AC11E7" w:rsidRPr="00AC11E7" w:rsidRDefault="00AC11E7" w:rsidP="00AC11E7">
      <w:pPr>
        <w:pBdr>
          <w:top w:val="nil"/>
          <w:left w:val="nil"/>
          <w:bottom w:val="nil"/>
          <w:right w:val="nil"/>
          <w:between w:val="nil"/>
        </w:pBdr>
        <w:spacing w:line="240" w:lineRule="auto"/>
        <w:ind w:left="144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1440"/>
        <w:rPr>
          <w:rFonts w:ascii="Arial Narrow" w:eastAsia="Nunito" w:hAnsi="Arial Narrow" w:cs="Nunito"/>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Explain how the Constitution implies a right to privacy. (List the various </w:t>
      </w:r>
      <w:r w:rsidRPr="00AC11E7">
        <w:rPr>
          <w:rFonts w:ascii="Arial Narrow" w:eastAsia="Nunito" w:hAnsi="Arial Narrow" w:cs="Nunito"/>
          <w:sz w:val="24"/>
          <w:szCs w:val="24"/>
        </w:rPr>
        <w:t>amendments where right to privacy could be implied.)</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3"/>
        </w:numPr>
        <w:spacing w:line="240" w:lineRule="auto"/>
        <w:ind w:left="360"/>
        <w:rPr>
          <w:rFonts w:ascii="Arial Narrow" w:eastAsia="Nunito" w:hAnsi="Arial Narrow" w:cs="Nunito"/>
          <w:b/>
          <w:sz w:val="24"/>
          <w:szCs w:val="24"/>
        </w:rPr>
      </w:pP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Roe v. Wade</w:t>
      </w:r>
      <w:r w:rsidRPr="00AC11E7">
        <w:rPr>
          <w:rFonts w:ascii="Arial Narrow" w:eastAsia="Nunito" w:hAnsi="Arial Narrow" w:cs="Nunito"/>
          <w:b/>
          <w:sz w:val="24"/>
          <w:szCs w:val="24"/>
        </w:rPr>
        <w:t xml:space="preserve"> (1973)</w:t>
      </w:r>
      <w:r w:rsidRPr="00AC11E7">
        <w:rPr>
          <w:rFonts w:ascii="Arial Narrow" w:eastAsia="Nunito" w:hAnsi="Arial Narrow" w:cs="Nunito"/>
          <w:b/>
          <w:sz w:val="24"/>
          <w:szCs w:val="24"/>
        </w:rPr>
        <w:tab/>
      </w:r>
      <w:r w:rsidRPr="00AC11E7">
        <w:rPr>
          <w:rFonts w:ascii="Arial Narrow" w:eastAsia="Nunito" w:hAnsi="Arial Narrow" w:cs="Nunito"/>
          <w:b/>
          <w:sz w:val="24"/>
          <w:szCs w:val="24"/>
        </w:rPr>
        <w:tab/>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3"/>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Provide examples where the Court upheld and overturned certain state  restrictions on abortion since</w:t>
      </w:r>
      <w:r w:rsidRPr="00AC11E7">
        <w:rPr>
          <w:rFonts w:ascii="Arial Narrow" w:eastAsia="Nunito" w:hAnsi="Arial Narrow" w:cs="Nunito"/>
          <w:i/>
          <w:sz w:val="24"/>
          <w:szCs w:val="24"/>
        </w:rPr>
        <w:t xml:space="preserve"> Roe</w:t>
      </w:r>
      <w:r w:rsidRPr="00AC11E7">
        <w:rPr>
          <w:rFonts w:ascii="Arial Narrow" w:eastAsia="Nunito" w:hAnsi="Arial Narrow" w:cs="Nunito"/>
          <w:sz w:val="24"/>
          <w:szCs w:val="24"/>
        </w:rPr>
        <w:t xml:space="preserve"> under the “undue burden” evaluation standard.</w:t>
      </w: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r w:rsidRPr="00AC11E7">
        <w:rPr>
          <w:rFonts w:ascii="Arial Narrow" w:eastAsia="Nunito" w:hAnsi="Arial Narrow" w:cs="Nunito"/>
          <w:sz w:val="24"/>
          <w:szCs w:val="24"/>
        </w:rPr>
        <w:tab/>
        <w:t>Examples of upholding state restrictions:</w:t>
      </w: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r w:rsidRPr="00AC11E7">
        <w:rPr>
          <w:rFonts w:ascii="Arial Narrow" w:eastAsia="Nunito" w:hAnsi="Arial Narrow" w:cs="Nunito"/>
          <w:sz w:val="24"/>
          <w:szCs w:val="24"/>
        </w:rPr>
        <w:tab/>
        <w:t>Examples of overturning state restrictions:</w:t>
      </w: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r w:rsidRPr="00AC11E7">
        <w:rPr>
          <w:rFonts w:ascii="Arial Narrow" w:eastAsia="Nunito" w:hAnsi="Arial Narrow" w:cs="Nunito"/>
          <w:sz w:val="24"/>
          <w:szCs w:val="24"/>
        </w:rPr>
        <w:t>28. Do civil liberties expand or limit the scope of government?</w:t>
      </w:r>
    </w:p>
    <w:p w:rsidR="00AC11E7" w:rsidRPr="00AC11E7" w:rsidRDefault="00AC11E7" w:rsidP="00AC11E7">
      <w:pPr>
        <w:spacing w:line="240" w:lineRule="auto"/>
        <w:rPr>
          <w:rFonts w:ascii="Arial Narrow" w:eastAsia="Nunito" w:hAnsi="Arial Narrow" w:cs="Nunito"/>
          <w:b/>
          <w:sz w:val="24"/>
          <w:szCs w:val="24"/>
        </w:rPr>
      </w:pPr>
      <w:r w:rsidRPr="00AC11E7">
        <w:rPr>
          <w:rFonts w:ascii="Arial Narrow" w:eastAsia="Nunito" w:hAnsi="Arial Narrow" w:cs="Nunito"/>
          <w:b/>
          <w:sz w:val="24"/>
          <w:szCs w:val="24"/>
        </w:rPr>
        <w:br w:type="page"/>
      </w:r>
    </w:p>
    <w:p w:rsidR="00AC11E7" w:rsidRPr="00AC11E7" w:rsidRDefault="00AC11E7" w:rsidP="00AC11E7">
      <w:pPr>
        <w:spacing w:line="240" w:lineRule="auto"/>
        <w:jc w:val="center"/>
        <w:rPr>
          <w:rFonts w:ascii="Arial Narrow" w:eastAsia="Nunito" w:hAnsi="Arial Narrow" w:cs="Nunito"/>
          <w:b/>
          <w:sz w:val="24"/>
          <w:szCs w:val="24"/>
        </w:rPr>
      </w:pPr>
      <w:r w:rsidRPr="00AC11E7">
        <w:rPr>
          <w:rFonts w:ascii="Arial Narrow" w:eastAsia="Nunito" w:hAnsi="Arial Narrow" w:cs="Nunito"/>
          <w:b/>
          <w:sz w:val="24"/>
          <w:szCs w:val="24"/>
        </w:rPr>
        <w:t>Chapter 5 – Civil Rights and Public Policy</w:t>
      </w: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How do civil rights and civil liberties differ?</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 xml:space="preserve">How did the </w:t>
      </w:r>
      <w:r w:rsidRPr="00AC11E7">
        <w:rPr>
          <w:rFonts w:ascii="Arial Narrow" w:eastAsia="Nunito" w:hAnsi="Arial Narrow" w:cs="Nunito"/>
          <w:b/>
          <w:i/>
          <w:sz w:val="24"/>
          <w:szCs w:val="24"/>
        </w:rPr>
        <w:t>equal protection clause</w:t>
      </w:r>
      <w:r w:rsidRPr="00AC11E7">
        <w:rPr>
          <w:rFonts w:ascii="Arial Narrow" w:eastAsia="Nunito" w:hAnsi="Arial Narrow" w:cs="Nunito"/>
          <w:sz w:val="24"/>
          <w:szCs w:val="24"/>
        </w:rPr>
        <w:t xml:space="preserve"> in the Fourteenth Amendment become the principal tool for promoting equality? </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Explain the Supreme Court’s three standards for classifications under the </w:t>
      </w:r>
      <w:r w:rsidRPr="00AC11E7">
        <w:rPr>
          <w:rFonts w:ascii="Arial Narrow" w:eastAsia="Nunito" w:hAnsi="Arial Narrow" w:cs="Nunito"/>
          <w:i/>
          <w:color w:val="000000"/>
          <w:sz w:val="24"/>
          <w:szCs w:val="24"/>
        </w:rPr>
        <w:t>equal protection clause</w:t>
      </w:r>
      <w:r w:rsidRPr="00AC11E7">
        <w:rPr>
          <w:rFonts w:ascii="Arial Narrow" w:eastAsia="Nunito" w:hAnsi="Arial Narrow" w:cs="Nunito"/>
          <w:color w:val="000000"/>
          <w:sz w:val="24"/>
          <w:szCs w:val="24"/>
        </w:rPr>
        <w:t xml:space="preserve"> and give an example of each.</w:t>
      </w: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*You will want to reference these for when you read about affirmative action on p. 170.</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Compare and contrast the significance of the Supreme Court cases of </w:t>
      </w:r>
      <w:r w:rsidRPr="00AC11E7">
        <w:rPr>
          <w:rFonts w:ascii="Arial Narrow" w:eastAsia="Nunito" w:hAnsi="Arial Narrow" w:cs="Nunito"/>
          <w:i/>
          <w:color w:val="000000"/>
          <w:sz w:val="24"/>
          <w:szCs w:val="24"/>
        </w:rPr>
        <w:t>Scott v. Sandford</w:t>
      </w:r>
      <w:r w:rsidRPr="00AC11E7">
        <w:rPr>
          <w:rFonts w:ascii="Arial Narrow" w:eastAsia="Nunito" w:hAnsi="Arial Narrow" w:cs="Nunito"/>
          <w:color w:val="000000"/>
          <w:sz w:val="24"/>
          <w:szCs w:val="24"/>
        </w:rPr>
        <w:t xml:space="preserve"> (1857), </w:t>
      </w:r>
      <w:r w:rsidRPr="00AC11E7">
        <w:rPr>
          <w:rFonts w:ascii="Arial Narrow" w:eastAsia="Nunito" w:hAnsi="Arial Narrow" w:cs="Nunito"/>
          <w:i/>
          <w:color w:val="000000"/>
          <w:sz w:val="24"/>
          <w:szCs w:val="24"/>
        </w:rPr>
        <w:t xml:space="preserve">Plessy v. Ferguson </w:t>
      </w:r>
      <w:r w:rsidRPr="00AC11E7">
        <w:rPr>
          <w:rFonts w:ascii="Arial Narrow" w:eastAsia="Nunito" w:hAnsi="Arial Narrow" w:cs="Nunito"/>
          <w:color w:val="000000"/>
          <w:sz w:val="24"/>
          <w:szCs w:val="24"/>
        </w:rPr>
        <w:t xml:space="preserve">(1896), and </w:t>
      </w:r>
      <w:r w:rsidRPr="00AC11E7">
        <w:rPr>
          <w:rFonts w:ascii="Arial Narrow" w:eastAsia="Nunito" w:hAnsi="Arial Narrow" w:cs="Nunito"/>
          <w:i/>
          <w:color w:val="000000"/>
          <w:sz w:val="24"/>
          <w:szCs w:val="24"/>
        </w:rPr>
        <w:t>Brown v. Board Education</w:t>
      </w:r>
      <w:r w:rsidRPr="00AC11E7">
        <w:rPr>
          <w:rFonts w:ascii="Arial Narrow" w:eastAsia="Nunito" w:hAnsi="Arial Narrow" w:cs="Nunito"/>
          <w:color w:val="000000"/>
          <w:sz w:val="24"/>
          <w:szCs w:val="24"/>
        </w:rPr>
        <w:t xml:space="preserve"> (1954).</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1"/>
        </w:numPr>
        <w:spacing w:line="240" w:lineRule="auto"/>
        <w:ind w:left="360"/>
        <w:rPr>
          <w:rFonts w:ascii="Arial Narrow" w:eastAsia="Nunito" w:hAnsi="Arial Narrow" w:cs="Nunito"/>
          <w:b/>
          <w:sz w:val="24"/>
          <w:szCs w:val="24"/>
        </w:rPr>
      </w:pPr>
      <w:r w:rsidRPr="00AC11E7">
        <w:rPr>
          <w:rFonts w:ascii="Arial Narrow" w:eastAsia="Nunito" w:hAnsi="Arial Narrow" w:cs="Nunito"/>
          <w:b/>
          <w:sz w:val="24"/>
          <w:szCs w:val="24"/>
        </w:rPr>
        <w:t xml:space="preserve">REQUIRED COURT CASE: </w:t>
      </w:r>
      <w:r w:rsidRPr="00AC11E7">
        <w:rPr>
          <w:rFonts w:ascii="Arial Narrow" w:eastAsia="Nunito" w:hAnsi="Arial Narrow" w:cs="Nunito"/>
          <w:b/>
          <w:i/>
          <w:sz w:val="24"/>
          <w:szCs w:val="24"/>
        </w:rPr>
        <w:t>Brown v. Board of Education of Topeka</w:t>
      </w:r>
      <w:r w:rsidRPr="00AC11E7">
        <w:rPr>
          <w:rFonts w:ascii="Arial Narrow" w:eastAsia="Nunito" w:hAnsi="Arial Narrow" w:cs="Nunito"/>
          <w:b/>
          <w:sz w:val="24"/>
          <w:szCs w:val="24"/>
        </w:rPr>
        <w:t xml:space="preserve"> (1954)</w:t>
      </w:r>
      <w:r w:rsidRPr="00AC11E7">
        <w:rPr>
          <w:rFonts w:ascii="Arial Narrow" w:eastAsia="Nunito" w:hAnsi="Arial Narrow" w:cs="Nunito"/>
          <w:b/>
          <w:sz w:val="24"/>
          <w:szCs w:val="24"/>
        </w:rPr>
        <w:tab/>
      </w:r>
      <w:r w:rsidRPr="00AC11E7">
        <w:rPr>
          <w:rFonts w:ascii="Arial Narrow" w:eastAsia="Nunito" w:hAnsi="Arial Narrow" w:cs="Nunito"/>
          <w:b/>
          <w:sz w:val="24"/>
          <w:szCs w:val="24"/>
        </w:rPr>
        <w:tab/>
      </w:r>
    </w:p>
    <w:p w:rsidR="00AC11E7" w:rsidRPr="00AC11E7" w:rsidRDefault="00AC11E7" w:rsidP="00AC11E7">
      <w:pPr>
        <w:spacing w:line="240" w:lineRule="auto"/>
        <w:ind w:firstLine="720"/>
        <w:rPr>
          <w:rFonts w:ascii="Arial Narrow" w:eastAsia="Nunito" w:hAnsi="Arial Narrow" w:cs="Nunito"/>
          <w:sz w:val="24"/>
          <w:szCs w:val="24"/>
        </w:rPr>
      </w:pPr>
      <w:r w:rsidRPr="00AC11E7">
        <w:rPr>
          <w:rFonts w:ascii="Arial Narrow" w:eastAsia="Nunito" w:hAnsi="Arial Narrow" w:cs="Nunito"/>
          <w:sz w:val="24"/>
          <w:szCs w:val="24"/>
        </w:rPr>
        <w:t>Facts of case:</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r w:rsidRPr="00AC11E7">
        <w:rPr>
          <w:rFonts w:ascii="Arial Narrow" w:eastAsia="Nunito" w:hAnsi="Arial Narrow" w:cs="Nunito"/>
          <w:sz w:val="24"/>
          <w:szCs w:val="24"/>
        </w:rPr>
        <w:t>Decision and reasoning:</w:t>
      </w: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spacing w:line="240" w:lineRule="auto"/>
        <w:ind w:left="720"/>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What is the difference between </w:t>
      </w:r>
      <w:r w:rsidRPr="00AC11E7">
        <w:rPr>
          <w:rFonts w:ascii="Arial Narrow" w:eastAsia="Nunito" w:hAnsi="Arial Narrow" w:cs="Nunito"/>
          <w:b/>
          <w:i/>
          <w:color w:val="000000"/>
          <w:sz w:val="24"/>
          <w:szCs w:val="24"/>
        </w:rPr>
        <w:t>de jure</w:t>
      </w:r>
      <w:r w:rsidRPr="00AC11E7">
        <w:rPr>
          <w:rFonts w:ascii="Arial Narrow" w:eastAsia="Nunito" w:hAnsi="Arial Narrow" w:cs="Nunito"/>
          <w:b/>
          <w:color w:val="000000"/>
          <w:sz w:val="24"/>
          <w:szCs w:val="24"/>
        </w:rPr>
        <w:t xml:space="preserve"> segregation</w:t>
      </w:r>
      <w:r w:rsidRPr="00AC11E7">
        <w:rPr>
          <w:rFonts w:ascii="Arial Narrow" w:eastAsia="Nunito" w:hAnsi="Arial Narrow" w:cs="Nunito"/>
          <w:color w:val="000000"/>
          <w:sz w:val="24"/>
          <w:szCs w:val="24"/>
        </w:rPr>
        <w:t xml:space="preserve"> and </w:t>
      </w:r>
      <w:r w:rsidRPr="00AC11E7">
        <w:rPr>
          <w:rFonts w:ascii="Arial Narrow" w:eastAsia="Nunito" w:hAnsi="Arial Narrow" w:cs="Nunito"/>
          <w:b/>
          <w:i/>
          <w:color w:val="000000"/>
          <w:sz w:val="24"/>
          <w:szCs w:val="24"/>
        </w:rPr>
        <w:t>de facto</w:t>
      </w:r>
      <w:r w:rsidRPr="00AC11E7">
        <w:rPr>
          <w:rFonts w:ascii="Arial Narrow" w:eastAsia="Nunito" w:hAnsi="Arial Narrow" w:cs="Nunito"/>
          <w:b/>
          <w:color w:val="000000"/>
          <w:sz w:val="24"/>
          <w:szCs w:val="24"/>
        </w:rPr>
        <w:t xml:space="preserve"> segregation</w:t>
      </w:r>
      <w:r w:rsidRPr="00AC11E7">
        <w:rPr>
          <w:rFonts w:ascii="Arial Narrow" w:eastAsia="Nunito" w:hAnsi="Arial Narrow" w:cs="Nunito"/>
          <w:color w:val="000000"/>
          <w:sz w:val="24"/>
          <w:szCs w:val="24"/>
        </w:rPr>
        <w:t>?</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Default="00AC11E7" w:rsidP="00AC11E7">
      <w:pPr>
        <w:spacing w:line="240" w:lineRule="auto"/>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was the Civil Rights Act of 1964? What impact did it have on discrimination in the U.S.?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List and explain four ways in which the southern states denied African Americans the right to vote.</w:t>
      </w: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What was the </w:t>
      </w:r>
      <w:r w:rsidRPr="00AC11E7">
        <w:rPr>
          <w:rFonts w:ascii="Arial Narrow" w:eastAsia="Nunito" w:hAnsi="Arial Narrow" w:cs="Nunito"/>
          <w:b/>
          <w:color w:val="000000"/>
          <w:sz w:val="24"/>
          <w:szCs w:val="24"/>
        </w:rPr>
        <w:t>Voting Rights Act of 1965</w:t>
      </w:r>
      <w:r w:rsidRPr="00AC11E7">
        <w:rPr>
          <w:rFonts w:ascii="Arial Narrow" w:eastAsia="Nunito" w:hAnsi="Arial Narrow" w:cs="Nunito"/>
          <w:color w:val="000000"/>
          <w:sz w:val="24"/>
          <w:szCs w:val="24"/>
        </w:rPr>
        <w:t xml:space="preserve">? What impact </w:t>
      </w:r>
      <w:r w:rsidRPr="00AC11E7">
        <w:rPr>
          <w:rFonts w:ascii="Arial Narrow" w:eastAsia="Nunito" w:hAnsi="Arial Narrow" w:cs="Nunito"/>
          <w:sz w:val="24"/>
          <w:szCs w:val="24"/>
        </w:rPr>
        <w:t>did it have on registration and turnout rates of minorities?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List four other minority groups that have faced discrimination similar to that experienced by African Americans and summarize their fight for civil rights.</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numPr>
          <w:ilvl w:val="1"/>
          <w:numId w:val="1"/>
        </w:numPr>
        <w:pBdr>
          <w:top w:val="nil"/>
          <w:left w:val="nil"/>
          <w:bottom w:val="nil"/>
          <w:right w:val="nil"/>
          <w:between w:val="nil"/>
        </w:pBdr>
        <w:spacing w:line="240" w:lineRule="auto"/>
        <w:ind w:left="1080"/>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amendment guarantees women’s suffrage?</w:t>
      </w: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What was the </w:t>
      </w:r>
      <w:r w:rsidRPr="00AC11E7">
        <w:rPr>
          <w:rFonts w:ascii="Arial Narrow" w:eastAsia="Nunito" w:hAnsi="Arial Narrow" w:cs="Nunito"/>
          <w:b/>
          <w:color w:val="000000"/>
          <w:sz w:val="24"/>
          <w:szCs w:val="24"/>
        </w:rPr>
        <w:t>Equal Rights Amendment</w:t>
      </w:r>
      <w:r w:rsidRPr="00AC11E7">
        <w:rPr>
          <w:rFonts w:ascii="Arial Narrow" w:eastAsia="Nunito" w:hAnsi="Arial Narrow" w:cs="Nunito"/>
          <w:color w:val="000000"/>
          <w:sz w:val="24"/>
          <w:szCs w:val="24"/>
        </w:rPr>
        <w:t xml:space="preserve">? </w:t>
      </w:r>
      <w:r>
        <w:rPr>
          <w:rFonts w:ascii="Arial Narrow" w:eastAsia="Nunito" w:hAnsi="Arial Narrow" w:cs="Nunito"/>
          <w:color w:val="000000"/>
          <w:sz w:val="24"/>
          <w:szCs w:val="24"/>
        </w:rPr>
        <w:t xml:space="preserve"> </w:t>
      </w:r>
      <w:r w:rsidRPr="00AC11E7">
        <w:rPr>
          <w:rFonts w:ascii="Arial Narrow" w:eastAsia="Nunito" w:hAnsi="Arial Narrow" w:cs="Nunito"/>
          <w:sz w:val="24"/>
          <w:szCs w:val="24"/>
        </w:rPr>
        <w:t>Why did it not get ratified by enough states?</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FC2A1A"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is the classification standard the Courts have used in gender discrimination cases? (Refer back to #3 or p. 148 if necessary.)</w:t>
      </w:r>
    </w:p>
    <w:p w:rsidR="00FC2A1A" w:rsidRDefault="00FC2A1A" w:rsidP="00FC2A1A">
      <w:pPr>
        <w:pBdr>
          <w:top w:val="nil"/>
          <w:left w:val="nil"/>
          <w:bottom w:val="nil"/>
          <w:right w:val="nil"/>
          <w:between w:val="nil"/>
        </w:pBdr>
        <w:spacing w:line="240" w:lineRule="auto"/>
        <w:rPr>
          <w:rFonts w:ascii="Arial Narrow" w:eastAsia="Nunito" w:hAnsi="Arial Narrow" w:cs="Nunito"/>
          <w:sz w:val="24"/>
          <w:szCs w:val="24"/>
        </w:rPr>
      </w:pPr>
    </w:p>
    <w:p w:rsidR="00FC2A1A" w:rsidRPr="00AC11E7" w:rsidRDefault="00FC2A1A" w:rsidP="00FC2A1A">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ind w:left="1440"/>
        <w:rPr>
          <w:rFonts w:ascii="Arial Narrow" w:eastAsia="Nunito" w:hAnsi="Arial Narrow" w:cs="Nunito"/>
          <w:color w:val="000000"/>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How has Congress attempted to end sex discrimination in the area of employment?</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Where does Title IX of the Education Act of 1972 forbid gender discrimination? Why is this significant? (think athletics!)</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is one key difference between the way men and women are treated in regards to the military today?</w:t>
      </w:r>
    </w:p>
    <w:p w:rsidR="00AC11E7" w:rsidRPr="00AC11E7" w:rsidRDefault="00AC11E7" w:rsidP="00AC11E7">
      <w:pPr>
        <w:pBdr>
          <w:top w:val="nil"/>
          <w:left w:val="nil"/>
          <w:bottom w:val="nil"/>
          <w:right w:val="nil"/>
          <w:between w:val="nil"/>
        </w:pBdr>
        <w:spacing w:line="240" w:lineRule="auto"/>
        <w:ind w:left="1440"/>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ind w:left="1440"/>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ind w:left="1440"/>
        <w:rPr>
          <w:rFonts w:ascii="Arial Narrow" w:eastAsia="Nunito" w:hAnsi="Arial Narrow" w:cs="Nunito"/>
          <w:sz w:val="24"/>
          <w:szCs w:val="24"/>
        </w:rPr>
      </w:pPr>
    </w:p>
    <w:p w:rsidR="00FC2A1A" w:rsidRPr="00AC11E7" w:rsidRDefault="00FC2A1A" w:rsidP="00AC11E7">
      <w:pPr>
        <w:pBdr>
          <w:top w:val="nil"/>
          <w:left w:val="nil"/>
          <w:bottom w:val="nil"/>
          <w:right w:val="nil"/>
          <w:between w:val="nil"/>
        </w:pBdr>
        <w:spacing w:line="240" w:lineRule="auto"/>
        <w:ind w:left="1440"/>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How has the Supreme Court dealt with the issue of sexual harassment?</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In what ways are the elderly discriminated against in American society?</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did the American with Disabilities Act of 1990 (ADA) do and what was its main argument against it?</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are some issues the LGBT community has faced to gain</w:t>
      </w:r>
      <w:r w:rsidRPr="00AC11E7">
        <w:rPr>
          <w:rFonts w:ascii="Arial Narrow" w:eastAsia="Nunito" w:hAnsi="Arial Narrow" w:cs="Nunito"/>
          <w:color w:val="000000"/>
          <w:sz w:val="24"/>
          <w:szCs w:val="24"/>
        </w:rPr>
        <w:t xml:space="preserve"> equality?</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spacing w:line="240" w:lineRule="auto"/>
        <w:rPr>
          <w:rFonts w:ascii="Arial Narrow" w:eastAsia="Nunito" w:hAnsi="Arial Narrow" w:cs="Nunito"/>
          <w:sz w:val="24"/>
          <w:szCs w:val="24"/>
        </w:rPr>
      </w:pPr>
      <w:r w:rsidRPr="00AC11E7">
        <w:rPr>
          <w:rFonts w:ascii="Arial Narrow" w:eastAsia="Nunito" w:hAnsi="Arial Narrow" w:cs="Nunito"/>
          <w:sz w:val="24"/>
          <w:szCs w:val="24"/>
        </w:rPr>
        <w:t xml:space="preserve">*TEXTBOOK UPDATE:  In </w:t>
      </w:r>
      <w:r w:rsidRPr="00FC2A1A">
        <w:rPr>
          <w:rFonts w:ascii="Arial Narrow" w:eastAsia="Nunito" w:hAnsi="Arial Narrow" w:cs="Nunito"/>
          <w:b/>
          <w:i/>
          <w:sz w:val="24"/>
          <w:szCs w:val="24"/>
        </w:rPr>
        <w:t xml:space="preserve">Obergefell v. Hodges </w:t>
      </w:r>
      <w:r w:rsidRPr="00FC2A1A">
        <w:rPr>
          <w:rFonts w:ascii="Arial Narrow" w:eastAsia="Nunito" w:hAnsi="Arial Narrow" w:cs="Nunito"/>
          <w:b/>
          <w:sz w:val="24"/>
          <w:szCs w:val="24"/>
        </w:rPr>
        <w:t>(2015),</w:t>
      </w:r>
      <w:r w:rsidRPr="00AC11E7">
        <w:rPr>
          <w:rFonts w:ascii="Arial Narrow" w:eastAsia="Nunito" w:hAnsi="Arial Narrow" w:cs="Nunito"/>
          <w:sz w:val="24"/>
          <w:szCs w:val="24"/>
        </w:rPr>
        <w:t xml:space="preserve"> The Supreme Court ruled in a 5:4 decision that states are required to issue a marriage license to two people of the same sex under the due process and equal protection clauses of the Fourteenth Amendment.</w:t>
      </w:r>
    </w:p>
    <w:p w:rsidR="00AC11E7" w:rsidRPr="00AC11E7" w:rsidRDefault="00AC11E7" w:rsidP="00AC11E7">
      <w:pPr>
        <w:spacing w:line="240" w:lineRule="auto"/>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sz w:val="24"/>
          <w:szCs w:val="24"/>
        </w:rPr>
        <w:t>What is the classification standard the Courts have used in racial discrimination cases? (Refer back to #3 or p. 148 if necessary.)</w:t>
      </w:r>
    </w:p>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FC2A1A" w:rsidRPr="00AC11E7"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numPr>
          <w:ilvl w:val="0"/>
          <w:numId w:val="1"/>
        </w:numPr>
        <w:pBdr>
          <w:top w:val="nil"/>
          <w:left w:val="nil"/>
          <w:bottom w:val="nil"/>
          <w:right w:val="nil"/>
          <w:between w:val="nil"/>
        </w:pBdr>
        <w:spacing w:line="240" w:lineRule="auto"/>
        <w:ind w:left="360"/>
        <w:rPr>
          <w:rFonts w:ascii="Arial Narrow" w:eastAsia="Nunito" w:hAnsi="Arial Narrow" w:cs="Nunito"/>
          <w:color w:val="000000"/>
          <w:sz w:val="24"/>
          <w:szCs w:val="24"/>
        </w:rPr>
      </w:pPr>
      <w:r w:rsidRPr="00AC11E7">
        <w:rPr>
          <w:rFonts w:ascii="Arial Narrow" w:eastAsia="Nunito" w:hAnsi="Arial Narrow" w:cs="Nunito"/>
          <w:color w:val="000000"/>
          <w:sz w:val="24"/>
          <w:szCs w:val="24"/>
        </w:rPr>
        <w:t xml:space="preserve">List </w:t>
      </w:r>
      <w:r w:rsidRPr="00AC11E7">
        <w:rPr>
          <w:rFonts w:ascii="Arial Narrow" w:eastAsia="Nunito" w:hAnsi="Arial Narrow" w:cs="Nunito"/>
          <w:sz w:val="24"/>
          <w:szCs w:val="24"/>
        </w:rPr>
        <w:t>examples/cases</w:t>
      </w:r>
      <w:r w:rsidRPr="00AC11E7">
        <w:rPr>
          <w:rFonts w:ascii="Arial Narrow" w:eastAsia="Nunito" w:hAnsi="Arial Narrow" w:cs="Nunito"/>
          <w:color w:val="000000"/>
          <w:sz w:val="24"/>
          <w:szCs w:val="24"/>
        </w:rPr>
        <w:t xml:space="preserve"> in which the Supreme Court supports affirmative action and </w:t>
      </w:r>
      <w:r w:rsidRPr="00AC11E7">
        <w:rPr>
          <w:rFonts w:ascii="Arial Narrow" w:eastAsia="Nunito" w:hAnsi="Arial Narrow" w:cs="Nunito"/>
          <w:sz w:val="24"/>
          <w:szCs w:val="24"/>
        </w:rPr>
        <w:t>other examples/</w:t>
      </w:r>
      <w:r w:rsidRPr="00AC11E7">
        <w:rPr>
          <w:rFonts w:ascii="Arial Narrow" w:eastAsia="Nunito" w:hAnsi="Arial Narrow" w:cs="Nunito"/>
          <w:color w:val="000000"/>
          <w:sz w:val="24"/>
          <w:szCs w:val="24"/>
        </w:rPr>
        <w:t>cases</w:t>
      </w:r>
      <w:r w:rsidRPr="00AC11E7">
        <w:rPr>
          <w:rFonts w:ascii="Arial Narrow" w:eastAsia="Nunito" w:hAnsi="Arial Narrow" w:cs="Nunito"/>
          <w:sz w:val="24"/>
          <w:szCs w:val="24"/>
        </w:rPr>
        <w:t xml:space="preserve"> where the Court</w:t>
      </w:r>
      <w:r w:rsidRPr="00AC11E7">
        <w:rPr>
          <w:rFonts w:ascii="Arial Narrow" w:eastAsia="Nunito" w:hAnsi="Arial Narrow" w:cs="Nunito"/>
          <w:color w:val="000000"/>
          <w:sz w:val="24"/>
          <w:szCs w:val="24"/>
        </w:rPr>
        <w:t xml:space="preserve"> opposes affirmative action.</w:t>
      </w:r>
    </w:p>
    <w:tbl>
      <w:tblPr>
        <w:tblW w:w="9108" w:type="dxa"/>
        <w:tblInd w:w="468" w:type="dxa"/>
        <w:tblBorders>
          <w:top w:val="nil"/>
          <w:left w:val="nil"/>
          <w:bottom w:val="nil"/>
          <w:right w:val="nil"/>
          <w:insideH w:val="nil"/>
          <w:insideV w:val="nil"/>
        </w:tblBorders>
        <w:tblLayout w:type="fixed"/>
        <w:tblLook w:val="0400" w:firstRow="0" w:lastRow="0" w:firstColumn="0" w:lastColumn="0" w:noHBand="0" w:noVBand="1"/>
      </w:tblPr>
      <w:tblGrid>
        <w:gridCol w:w="4320"/>
        <w:gridCol w:w="4788"/>
      </w:tblGrid>
      <w:tr w:rsidR="00AC11E7" w:rsidRPr="00AC11E7" w:rsidTr="00AC11E7">
        <w:tc>
          <w:tcPr>
            <w:tcW w:w="4320" w:type="dxa"/>
          </w:tcPr>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r w:rsidRPr="00AC11E7">
              <w:rPr>
                <w:rFonts w:ascii="Arial Narrow" w:eastAsia="Nunito" w:hAnsi="Arial Narrow" w:cs="Nunito"/>
                <w:b/>
                <w:i/>
                <w:color w:val="000000"/>
                <w:sz w:val="24"/>
                <w:szCs w:val="24"/>
              </w:rPr>
              <w:t>Support:</w:t>
            </w:r>
          </w:p>
          <w:p w:rsidR="00AC11E7" w:rsidRPr="00AC11E7" w:rsidRDefault="00AC11E7" w:rsidP="00AC11E7">
            <w:pPr>
              <w:pBdr>
                <w:top w:val="nil"/>
                <w:left w:val="nil"/>
                <w:bottom w:val="nil"/>
                <w:right w:val="nil"/>
                <w:between w:val="nil"/>
              </w:pBdr>
              <w:spacing w:line="240" w:lineRule="auto"/>
              <w:ind w:left="360"/>
              <w:rPr>
                <w:rFonts w:ascii="Arial Narrow" w:eastAsia="Nunito" w:hAnsi="Arial Narrow" w:cs="Nunito"/>
                <w:color w:val="000000"/>
                <w:sz w:val="24"/>
                <w:szCs w:val="24"/>
              </w:rPr>
            </w:pPr>
          </w:p>
        </w:tc>
        <w:tc>
          <w:tcPr>
            <w:tcW w:w="4788" w:type="dxa"/>
          </w:tcPr>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r w:rsidRPr="00AC11E7">
              <w:rPr>
                <w:rFonts w:ascii="Arial Narrow" w:eastAsia="Nunito" w:hAnsi="Arial Narrow" w:cs="Nunito"/>
                <w:b/>
                <w:i/>
                <w:color w:val="000000"/>
                <w:sz w:val="24"/>
                <w:szCs w:val="24"/>
              </w:rPr>
              <w:t>Oppose:</w:t>
            </w: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p w:rsidR="00AC11E7" w:rsidRPr="00AC11E7" w:rsidRDefault="00AC11E7" w:rsidP="00AC11E7">
            <w:pPr>
              <w:pBdr>
                <w:top w:val="nil"/>
                <w:left w:val="nil"/>
                <w:bottom w:val="nil"/>
                <w:right w:val="nil"/>
                <w:between w:val="nil"/>
              </w:pBdr>
              <w:spacing w:line="240" w:lineRule="auto"/>
              <w:ind w:left="720"/>
              <w:rPr>
                <w:rFonts w:ascii="Arial Narrow" w:eastAsia="Nunito" w:hAnsi="Arial Narrow" w:cs="Nunito"/>
                <w:sz w:val="24"/>
                <w:szCs w:val="24"/>
              </w:rPr>
            </w:pPr>
          </w:p>
        </w:tc>
      </w:tr>
    </w:tbl>
    <w:p w:rsid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FC2A1A" w:rsidRDefault="00FC2A1A" w:rsidP="00AC11E7">
      <w:pPr>
        <w:pBdr>
          <w:top w:val="nil"/>
          <w:left w:val="nil"/>
          <w:bottom w:val="nil"/>
          <w:right w:val="nil"/>
          <w:between w:val="nil"/>
        </w:pBdr>
        <w:spacing w:line="240" w:lineRule="auto"/>
        <w:rPr>
          <w:rFonts w:ascii="Arial Narrow" w:eastAsia="Nunito" w:hAnsi="Arial Narrow" w:cs="Nunito"/>
          <w:sz w:val="24"/>
          <w:szCs w:val="24"/>
        </w:rPr>
      </w:pPr>
    </w:p>
    <w:p w:rsidR="00FC2A1A" w:rsidRPr="00AC11E7" w:rsidRDefault="00FC2A1A" w:rsidP="00AC11E7">
      <w:pPr>
        <w:pBdr>
          <w:top w:val="nil"/>
          <w:left w:val="nil"/>
          <w:bottom w:val="nil"/>
          <w:right w:val="nil"/>
          <w:between w:val="nil"/>
        </w:pBdr>
        <w:spacing w:line="240" w:lineRule="auto"/>
        <w:rPr>
          <w:rFonts w:ascii="Arial Narrow" w:eastAsia="Nunito" w:hAnsi="Arial Narrow" w:cs="Nunito"/>
          <w:sz w:val="24"/>
          <w:szCs w:val="24"/>
        </w:rPr>
      </w:pPr>
      <w:bookmarkStart w:id="0" w:name="_GoBack"/>
      <w:bookmarkEnd w:id="0"/>
    </w:p>
    <w:p w:rsidR="00AC11E7" w:rsidRPr="00AC11E7" w:rsidRDefault="00AC11E7" w:rsidP="00AC11E7">
      <w:pPr>
        <w:pBdr>
          <w:top w:val="nil"/>
          <w:left w:val="nil"/>
          <w:bottom w:val="nil"/>
          <w:right w:val="nil"/>
          <w:between w:val="nil"/>
        </w:pBdr>
        <w:spacing w:line="240" w:lineRule="auto"/>
        <w:rPr>
          <w:rFonts w:ascii="Arial Narrow" w:eastAsia="Nunito" w:hAnsi="Arial Narrow" w:cs="Nunito"/>
          <w:sz w:val="24"/>
          <w:szCs w:val="24"/>
        </w:rPr>
      </w:pPr>
    </w:p>
    <w:p w:rsidR="00AC11E7" w:rsidRPr="00AC11E7" w:rsidRDefault="00AC11E7" w:rsidP="00AC11E7">
      <w:pPr>
        <w:spacing w:line="240" w:lineRule="auto"/>
        <w:rPr>
          <w:rFonts w:ascii="Arial Narrow" w:eastAsia="Nunito" w:hAnsi="Arial Narrow" w:cs="Nunito"/>
          <w:color w:val="000000"/>
          <w:sz w:val="24"/>
          <w:szCs w:val="24"/>
        </w:rPr>
      </w:pPr>
      <w:r w:rsidRPr="00AC11E7">
        <w:rPr>
          <w:rFonts w:ascii="Arial Narrow" w:eastAsia="Nunito" w:hAnsi="Arial Narrow" w:cs="Nunito"/>
          <w:sz w:val="24"/>
          <w:szCs w:val="24"/>
        </w:rPr>
        <w:t>23. Do civil rights expand or limit the scope of government?</w:t>
      </w:r>
    </w:p>
    <w:p w:rsidR="00AC11E7" w:rsidRPr="00AC11E7" w:rsidRDefault="00AC11E7" w:rsidP="00AC11E7">
      <w:pPr>
        <w:pBdr>
          <w:top w:val="nil"/>
          <w:left w:val="nil"/>
          <w:bottom w:val="nil"/>
          <w:right w:val="nil"/>
          <w:between w:val="nil"/>
        </w:pBdr>
        <w:spacing w:line="240" w:lineRule="auto"/>
        <w:rPr>
          <w:rFonts w:ascii="Arial Narrow" w:eastAsia="Nunito" w:hAnsi="Arial Narrow" w:cs="Nunito"/>
          <w:color w:val="000000"/>
          <w:sz w:val="24"/>
          <w:szCs w:val="24"/>
        </w:rPr>
      </w:pPr>
    </w:p>
    <w:p w:rsidR="00AC11E7" w:rsidRPr="00AC11E7" w:rsidRDefault="00AC11E7" w:rsidP="00AC11E7">
      <w:pPr>
        <w:spacing w:line="240" w:lineRule="auto"/>
        <w:rPr>
          <w:rFonts w:ascii="Arial Narrow" w:eastAsia="Avenir" w:hAnsi="Arial Narrow" w:cs="Avenir"/>
          <w:sz w:val="24"/>
          <w:szCs w:val="24"/>
        </w:rPr>
      </w:pPr>
    </w:p>
    <w:p w:rsidR="001A1AFA" w:rsidRDefault="00AC11E7" w:rsidP="00AC11E7">
      <w:r>
        <w:rPr>
          <w:rFonts w:ascii="Nunito" w:eastAsia="Nunito" w:hAnsi="Nunito" w:cs="Nunito"/>
          <w:b/>
          <w:sz w:val="28"/>
          <w:szCs w:val="28"/>
        </w:rPr>
        <w:br w:type="page"/>
      </w:r>
    </w:p>
    <w:sectPr w:rsidR="001A1AFA" w:rsidSect="00AC1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Nunito">
    <w:altName w:val="Calibri"/>
    <w:charset w:val="00"/>
    <w:family w:val="auto"/>
    <w:pitch w:val="default"/>
  </w:font>
  <w:font w:name="Avenir">
    <w:altName w:val="Avenir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901"/>
    <w:multiLevelType w:val="multilevel"/>
    <w:tmpl w:val="A8DC8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BC316A"/>
    <w:multiLevelType w:val="multilevel"/>
    <w:tmpl w:val="FEC2E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506C1E"/>
    <w:multiLevelType w:val="multilevel"/>
    <w:tmpl w:val="F96E85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E7"/>
    <w:rsid w:val="001A1AFA"/>
    <w:rsid w:val="002101C7"/>
    <w:rsid w:val="00AC11E7"/>
    <w:rsid w:val="00FC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11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E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E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yez.org/cases/1961/468" TargetMode="External"/><Relationship Id="rId7" Type="http://schemas.openxmlformats.org/officeDocument/2006/relationships/hyperlink" Target="https://www.oyez.org/cases/1971/70-110" TargetMode="External"/><Relationship Id="rId8" Type="http://schemas.openxmlformats.org/officeDocument/2006/relationships/hyperlink" Target="https://www.oyez.org/cases/1900-1940/249us47" TargetMode="External"/><Relationship Id="rId9" Type="http://schemas.openxmlformats.org/officeDocument/2006/relationships/hyperlink" Target="https://www.oyez.org/cases/1968/21" TargetMode="External"/><Relationship Id="rId10" Type="http://schemas.openxmlformats.org/officeDocument/2006/relationships/hyperlink" Target="https://www.oyez.org/cases/2009/08-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1081</Words>
  <Characters>6165</Characters>
  <Application>Microsoft Macintosh Word</Application>
  <DocSecurity>0</DocSecurity>
  <Lines>51</Lines>
  <Paragraphs>14</Paragraphs>
  <ScaleCrop>false</ScaleCrop>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Boler</dc:creator>
  <cp:keywords/>
  <dc:description/>
  <cp:lastModifiedBy>Jeremy Boler</cp:lastModifiedBy>
  <cp:revision>1</cp:revision>
  <dcterms:created xsi:type="dcterms:W3CDTF">2020-03-20T18:11:00Z</dcterms:created>
  <dcterms:modified xsi:type="dcterms:W3CDTF">2020-03-20T18:23:00Z</dcterms:modified>
</cp:coreProperties>
</file>