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Chester County High School</w:t>
      </w:r>
    </w:p>
    <w:p w:rsidR="00000000" w:rsidDel="00000000" w:rsidP="00000000" w:rsidRDefault="00000000" w:rsidRPr="00000000" w14:paraId="00000002">
      <w:pPr>
        <w:pStyle w:val="Heading1"/>
        <w:spacing w:before="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36"/>
          <w:szCs w:val="36"/>
          <w:rtl w:val="0"/>
        </w:rPr>
        <w:t xml:space="preserve">Algebra II Syllabus 2019 – 2020</w:t>
      </w: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03">
      <w:pPr>
        <w:pStyle w:val="Heading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Instructor:  </w:t>
      </w:r>
      <w:r w:rsidDel="00000000" w:rsidR="00000000" w:rsidRPr="00000000">
        <w:rPr>
          <w:rFonts w:ascii="Times New Roman" w:cs="Times New Roman" w:eastAsia="Times New Roman" w:hAnsi="Times New Roman"/>
          <w:sz w:val="22"/>
          <w:szCs w:val="22"/>
          <w:rtl w:val="0"/>
        </w:rPr>
        <w:t xml:space="preserve">M. Adele Ellington</w:t>
      </w:r>
      <w:r w:rsidDel="00000000" w:rsidR="00000000" w:rsidRPr="00000000">
        <w:rPr>
          <w:rFonts w:ascii="Times New Roman" w:cs="Times New Roman" w:eastAsia="Times New Roman" w:hAnsi="Times New Roman"/>
          <w:b w:val="0"/>
          <w:sz w:val="22"/>
          <w:szCs w:val="22"/>
          <w:rtl w:val="0"/>
        </w:rPr>
        <w:t xml:space="preserve">   </w:t>
      </w:r>
    </w:p>
    <w:p w:rsidR="00000000" w:rsidDel="00000000" w:rsidP="00000000" w:rsidRDefault="00000000" w:rsidRPr="00000000" w14:paraId="00000004">
      <w:pPr>
        <w:pStyle w:val="Heading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Email: adele.ellington@chestercountyschools.org </w:t>
      </w:r>
    </w:p>
    <w:p w:rsidR="00000000" w:rsidDel="00000000" w:rsidP="00000000" w:rsidRDefault="00000000" w:rsidRPr="00000000" w14:paraId="00000005">
      <w:pPr>
        <w:rPr>
          <w:sz w:val="22"/>
          <w:szCs w:val="22"/>
        </w:rPr>
      </w:pPr>
      <w:r w:rsidDel="00000000" w:rsidR="00000000" w:rsidRPr="00000000">
        <w:rPr>
          <w:sz w:val="22"/>
          <w:szCs w:val="22"/>
          <w:rtl w:val="0"/>
        </w:rPr>
        <w:t xml:space="preserve">Room: W20   Planning period: 5th</w:t>
      </w:r>
    </w:p>
    <w:p w:rsidR="00000000" w:rsidDel="00000000" w:rsidP="00000000" w:rsidRDefault="00000000" w:rsidRPr="00000000" w14:paraId="00000006">
      <w:pPr>
        <w:rPr>
          <w:b w:val="1"/>
          <w:sz w:val="22"/>
          <w:szCs w:val="22"/>
        </w:rPr>
      </w:pPr>
      <w:r w:rsidDel="00000000" w:rsidR="00000000" w:rsidRPr="00000000">
        <w:rPr>
          <w:rtl w:val="0"/>
        </w:rPr>
      </w:r>
    </w:p>
    <w:p w:rsidR="00000000" w:rsidDel="00000000" w:rsidP="00000000" w:rsidRDefault="00000000" w:rsidRPr="00000000" w14:paraId="00000007">
      <w:pPr>
        <w:rPr>
          <w:b w:val="1"/>
          <w:sz w:val="22"/>
          <w:szCs w:val="22"/>
        </w:rPr>
      </w:pPr>
      <w:r w:rsidDel="00000000" w:rsidR="00000000" w:rsidRPr="00000000">
        <w:rPr>
          <w:b w:val="1"/>
          <w:sz w:val="22"/>
          <w:szCs w:val="22"/>
          <w:rtl w:val="0"/>
        </w:rPr>
        <w:t xml:space="preserve">Course Description: </w:t>
      </w:r>
    </w:p>
    <w:p w:rsidR="00000000" w:rsidDel="00000000" w:rsidP="00000000" w:rsidRDefault="00000000" w:rsidRPr="00000000" w14:paraId="00000008">
      <w:pPr>
        <w:rPr>
          <w:sz w:val="22"/>
          <w:szCs w:val="22"/>
          <w:highlight w:val="yellow"/>
        </w:rPr>
      </w:pPr>
      <w:r w:rsidDel="00000000" w:rsidR="00000000" w:rsidRPr="00000000">
        <w:rPr>
          <w:b w:val="1"/>
          <w:color w:val="222222"/>
          <w:sz w:val="22"/>
          <w:szCs w:val="22"/>
          <w:highlight w:val="white"/>
          <w:rtl w:val="0"/>
        </w:rPr>
        <w:t xml:space="preserve">Algebra 2</w:t>
      </w:r>
      <w:r w:rsidDel="00000000" w:rsidR="00000000" w:rsidRPr="00000000">
        <w:rPr>
          <w:color w:val="222222"/>
          <w:sz w:val="22"/>
          <w:szCs w:val="22"/>
          <w:highlight w:val="white"/>
          <w:rtl w:val="0"/>
        </w:rPr>
        <w:t xml:space="preserve"> prepares students to take Pre-Calculus and Statistics. A major goal of this </w:t>
      </w:r>
      <w:r w:rsidDel="00000000" w:rsidR="00000000" w:rsidRPr="00000000">
        <w:rPr>
          <w:b w:val="1"/>
          <w:color w:val="222222"/>
          <w:sz w:val="22"/>
          <w:szCs w:val="22"/>
          <w:highlight w:val="white"/>
          <w:rtl w:val="0"/>
        </w:rPr>
        <w:t xml:space="preserve">course</w:t>
      </w:r>
      <w:r w:rsidDel="00000000" w:rsidR="00000000" w:rsidRPr="00000000">
        <w:rPr>
          <w:color w:val="222222"/>
          <w:sz w:val="22"/>
          <w:szCs w:val="22"/>
          <w:highlight w:val="white"/>
          <w:rtl w:val="0"/>
        </w:rPr>
        <w:t xml:space="preserve"> is for students to develop skills in manipulating and solving linear, quadratic, exponential, polynomial, radical, rational, and logarithmic equations.</w:t>
      </w: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sz w:val="22"/>
          <w:szCs w:val="22"/>
          <w:rtl w:val="0"/>
        </w:rPr>
        <w:t xml:space="preserve">Problem solving provides opportunities in which students will apply their math skills to real-world situations. Students use models to represent, explore, and develop concepts. The use of appropriate technology will help students apply math in an increasingly technological world. Material covered in this class will be tested on the Algebra II end of course testing and ACT.</w:t>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rPr>
          <w:b w:val="1"/>
          <w:sz w:val="22"/>
          <w:szCs w:val="22"/>
        </w:rPr>
      </w:pPr>
      <w:r w:rsidDel="00000000" w:rsidR="00000000" w:rsidRPr="00000000">
        <w:rPr>
          <w:b w:val="1"/>
          <w:sz w:val="22"/>
          <w:szCs w:val="22"/>
          <w:rtl w:val="0"/>
        </w:rPr>
        <w:t xml:space="preserve">Standards Covered:</w:t>
      </w:r>
    </w:p>
    <w:p w:rsidR="00000000" w:rsidDel="00000000" w:rsidP="00000000" w:rsidRDefault="00000000" w:rsidRPr="00000000" w14:paraId="0000000C">
      <w:pPr>
        <w:rPr>
          <w:b w:val="1"/>
          <w:sz w:val="22"/>
          <w:szCs w:val="22"/>
        </w:rPr>
      </w:pPr>
      <w:r w:rsidDel="00000000" w:rsidR="00000000" w:rsidRPr="00000000">
        <w:rPr>
          <w:rtl w:val="0"/>
        </w:rPr>
      </w:r>
    </w:p>
    <w:p w:rsidR="00000000" w:rsidDel="00000000" w:rsidP="00000000" w:rsidRDefault="00000000" w:rsidRPr="00000000" w14:paraId="0000000D">
      <w:pPr>
        <w:rPr>
          <w:b w:val="1"/>
          <w:sz w:val="22"/>
          <w:szCs w:val="22"/>
        </w:rPr>
      </w:pPr>
      <w:r w:rsidDel="00000000" w:rsidR="00000000" w:rsidRPr="00000000">
        <w:rPr>
          <w:b w:val="1"/>
          <w:sz w:val="22"/>
          <w:szCs w:val="22"/>
          <w:rtl w:val="0"/>
        </w:rPr>
        <w:t xml:space="preserve">We will be covering the Tennessee’s State Mathematics Standards for Algebra II.  These are available from the Tennessee Department of Education website.  </w:t>
      </w:r>
    </w:p>
    <w:p w:rsidR="00000000" w:rsidDel="00000000" w:rsidP="00000000" w:rsidRDefault="00000000" w:rsidRPr="00000000" w14:paraId="0000000E">
      <w:pPr>
        <w:rPr>
          <w:b w:val="1"/>
          <w:sz w:val="22"/>
          <w:szCs w:val="22"/>
        </w:rPr>
      </w:pPr>
      <w:hyperlink r:id="rId6">
        <w:r w:rsidDel="00000000" w:rsidR="00000000" w:rsidRPr="00000000">
          <w:rPr>
            <w:b w:val="1"/>
            <w:color w:val="1155cc"/>
            <w:sz w:val="22"/>
            <w:szCs w:val="22"/>
            <w:u w:val="single"/>
            <w:rtl w:val="0"/>
          </w:rPr>
          <w:t xml:space="preserve">https://www.tn.gov/content/dam/tn/education/standards/math/stds_math.pdf</w:t>
        </w:r>
      </w:hyperlink>
      <w:r w:rsidDel="00000000" w:rsidR="00000000" w:rsidRPr="00000000">
        <w:rPr>
          <w:rtl w:val="0"/>
        </w:rPr>
      </w:r>
    </w:p>
    <w:p w:rsidR="00000000" w:rsidDel="00000000" w:rsidP="00000000" w:rsidRDefault="00000000" w:rsidRPr="00000000" w14:paraId="0000000F">
      <w:pPr>
        <w:ind w:left="7920" w:firstLine="720"/>
        <w:rPr>
          <w:sz w:val="22"/>
          <w:szCs w:val="22"/>
        </w:rPr>
      </w:pPr>
      <w:r w:rsidDel="00000000" w:rsidR="00000000" w:rsidRPr="00000000">
        <w:rPr>
          <w:rtl w:val="0"/>
        </w:rPr>
      </w:r>
    </w:p>
    <w:p w:rsidR="00000000" w:rsidDel="00000000" w:rsidP="00000000" w:rsidRDefault="00000000" w:rsidRPr="00000000" w14:paraId="00000010">
      <w:pPr>
        <w:rPr>
          <w:b w:val="1"/>
          <w:sz w:val="22"/>
          <w:szCs w:val="22"/>
        </w:rPr>
      </w:pPr>
      <w:r w:rsidDel="00000000" w:rsidR="00000000" w:rsidRPr="00000000">
        <w:rPr>
          <w:rtl w:val="0"/>
        </w:rPr>
      </w:r>
    </w:p>
    <w:p w:rsidR="00000000" w:rsidDel="00000000" w:rsidP="00000000" w:rsidRDefault="00000000" w:rsidRPr="00000000" w14:paraId="00000011">
      <w:pPr>
        <w:rPr>
          <w:b w:val="1"/>
          <w:sz w:val="22"/>
          <w:szCs w:val="22"/>
        </w:rPr>
      </w:pPr>
      <w:r w:rsidDel="00000000" w:rsidR="00000000" w:rsidRPr="00000000">
        <w:rPr>
          <w:b w:val="1"/>
          <w:sz w:val="22"/>
          <w:szCs w:val="22"/>
          <w:rtl w:val="0"/>
        </w:rPr>
        <w:t xml:space="preserve">Algebra II Grading:</w:t>
      </w:r>
    </w:p>
    <w:p w:rsidR="00000000" w:rsidDel="00000000" w:rsidP="00000000" w:rsidRDefault="00000000" w:rsidRPr="00000000" w14:paraId="00000012">
      <w:pPr>
        <w:rPr>
          <w:sz w:val="22"/>
          <w:szCs w:val="22"/>
        </w:rPr>
      </w:pPr>
      <w:r w:rsidDel="00000000" w:rsidR="00000000" w:rsidRPr="00000000">
        <w:rPr>
          <w:rtl w:val="0"/>
        </w:rPr>
      </w:r>
    </w:p>
    <w:p w:rsidR="00000000" w:rsidDel="00000000" w:rsidP="00000000" w:rsidRDefault="00000000" w:rsidRPr="00000000" w14:paraId="00000013">
      <w:pPr>
        <w:rPr>
          <w:sz w:val="22"/>
          <w:szCs w:val="22"/>
        </w:rPr>
      </w:pPr>
      <w:r w:rsidDel="00000000" w:rsidR="00000000" w:rsidRPr="00000000">
        <w:rPr>
          <w:sz w:val="22"/>
          <w:szCs w:val="22"/>
          <w:rtl w:val="0"/>
        </w:rPr>
        <w:t xml:space="preserve">Report card letter grades reflect a percentage of those scores using the following grading scale:</w:t>
      </w:r>
    </w:p>
    <w:p w:rsidR="00000000" w:rsidDel="00000000" w:rsidP="00000000" w:rsidRDefault="00000000" w:rsidRPr="00000000" w14:paraId="00000014">
      <w:pPr>
        <w:ind w:left="1440" w:firstLine="0"/>
        <w:rPr>
          <w:sz w:val="22"/>
          <w:szCs w:val="22"/>
        </w:rPr>
      </w:pPr>
      <w:r w:rsidDel="00000000" w:rsidR="00000000" w:rsidRPr="00000000">
        <w:rPr>
          <w:sz w:val="22"/>
          <w:szCs w:val="22"/>
          <w:rtl w:val="0"/>
        </w:rPr>
        <w:t xml:space="preserve">A = 93 – 100</w:t>
      </w:r>
    </w:p>
    <w:p w:rsidR="00000000" w:rsidDel="00000000" w:rsidP="00000000" w:rsidRDefault="00000000" w:rsidRPr="00000000" w14:paraId="00000015">
      <w:pPr>
        <w:ind w:left="1440" w:firstLine="0"/>
        <w:rPr>
          <w:sz w:val="22"/>
          <w:szCs w:val="22"/>
        </w:rPr>
      </w:pPr>
      <w:r w:rsidDel="00000000" w:rsidR="00000000" w:rsidRPr="00000000">
        <w:rPr>
          <w:sz w:val="22"/>
          <w:szCs w:val="22"/>
          <w:rtl w:val="0"/>
        </w:rPr>
        <w:t xml:space="preserve">B = 85 - 92</w:t>
      </w:r>
    </w:p>
    <w:p w:rsidR="00000000" w:rsidDel="00000000" w:rsidP="00000000" w:rsidRDefault="00000000" w:rsidRPr="00000000" w14:paraId="00000016">
      <w:pPr>
        <w:ind w:left="1440" w:firstLine="0"/>
        <w:rPr>
          <w:sz w:val="22"/>
          <w:szCs w:val="22"/>
        </w:rPr>
      </w:pPr>
      <w:r w:rsidDel="00000000" w:rsidR="00000000" w:rsidRPr="00000000">
        <w:rPr>
          <w:sz w:val="22"/>
          <w:szCs w:val="22"/>
          <w:rtl w:val="0"/>
        </w:rPr>
        <w:t xml:space="preserve">C = 75 - 84</w:t>
      </w:r>
    </w:p>
    <w:p w:rsidR="00000000" w:rsidDel="00000000" w:rsidP="00000000" w:rsidRDefault="00000000" w:rsidRPr="00000000" w14:paraId="00000017">
      <w:pPr>
        <w:ind w:left="1440" w:firstLine="0"/>
        <w:rPr>
          <w:sz w:val="22"/>
          <w:szCs w:val="22"/>
        </w:rPr>
      </w:pPr>
      <w:r w:rsidDel="00000000" w:rsidR="00000000" w:rsidRPr="00000000">
        <w:rPr>
          <w:sz w:val="22"/>
          <w:szCs w:val="22"/>
          <w:rtl w:val="0"/>
        </w:rPr>
        <w:t xml:space="preserve">D = 70 - 74</w:t>
      </w:r>
    </w:p>
    <w:p w:rsidR="00000000" w:rsidDel="00000000" w:rsidP="00000000" w:rsidRDefault="00000000" w:rsidRPr="00000000" w14:paraId="00000018">
      <w:pPr>
        <w:ind w:left="1440" w:firstLine="0"/>
        <w:rPr>
          <w:sz w:val="22"/>
          <w:szCs w:val="22"/>
        </w:rPr>
      </w:pPr>
      <w:r w:rsidDel="00000000" w:rsidR="00000000" w:rsidRPr="00000000">
        <w:rPr>
          <w:sz w:val="22"/>
          <w:szCs w:val="22"/>
          <w:rtl w:val="0"/>
        </w:rPr>
        <w:t xml:space="preserve">F =   0 – 69</w:t>
      </w:r>
    </w:p>
    <w:p w:rsidR="00000000" w:rsidDel="00000000" w:rsidP="00000000" w:rsidRDefault="00000000" w:rsidRPr="00000000" w14:paraId="00000019">
      <w:pPr>
        <w:ind w:left="360" w:firstLine="0"/>
        <w:rPr>
          <w:sz w:val="22"/>
          <w:szCs w:val="22"/>
        </w:rPr>
      </w:pPr>
      <w:r w:rsidDel="00000000" w:rsidR="00000000" w:rsidRPr="00000000">
        <w:rPr>
          <w:rtl w:val="0"/>
        </w:rPr>
      </w:r>
    </w:p>
    <w:p w:rsidR="00000000" w:rsidDel="00000000" w:rsidP="00000000" w:rsidRDefault="00000000" w:rsidRPr="00000000" w14:paraId="0000001A">
      <w:pPr>
        <w:rPr>
          <w:sz w:val="22"/>
          <w:szCs w:val="22"/>
        </w:rPr>
      </w:pPr>
      <w:r w:rsidDel="00000000" w:rsidR="00000000" w:rsidRPr="00000000">
        <w:rPr>
          <w:sz w:val="22"/>
          <w:szCs w:val="22"/>
          <w:rtl w:val="0"/>
        </w:rPr>
        <w:t xml:space="preserve">Each student’s grade will be calculated using the following percentages: </w:t>
      </w:r>
    </w:p>
    <w:p w:rsidR="00000000" w:rsidDel="00000000" w:rsidP="00000000" w:rsidRDefault="00000000" w:rsidRPr="00000000" w14:paraId="0000001B">
      <w:pPr>
        <w:rPr>
          <w:sz w:val="22"/>
          <w:szCs w:val="22"/>
        </w:rPr>
      </w:pPr>
      <w:r w:rsidDel="00000000" w:rsidR="00000000" w:rsidRPr="00000000">
        <w:rPr>
          <w:sz w:val="22"/>
          <w:szCs w:val="22"/>
          <w:rtl w:val="0"/>
        </w:rPr>
        <w:tab/>
        <w:tab/>
        <w:t xml:space="preserve">Tests:  35%</w:t>
      </w:r>
    </w:p>
    <w:p w:rsidR="00000000" w:rsidDel="00000000" w:rsidP="00000000" w:rsidRDefault="00000000" w:rsidRPr="00000000" w14:paraId="0000001C">
      <w:pPr>
        <w:rPr>
          <w:sz w:val="22"/>
          <w:szCs w:val="22"/>
        </w:rPr>
      </w:pPr>
      <w:r w:rsidDel="00000000" w:rsidR="00000000" w:rsidRPr="00000000">
        <w:rPr>
          <w:sz w:val="22"/>
          <w:szCs w:val="22"/>
          <w:rtl w:val="0"/>
        </w:rPr>
        <w:tab/>
        <w:tab/>
        <w:t xml:space="preserve">Quizzes:  45%</w:t>
      </w:r>
    </w:p>
    <w:p w:rsidR="00000000" w:rsidDel="00000000" w:rsidP="00000000" w:rsidRDefault="00000000" w:rsidRPr="00000000" w14:paraId="0000001D">
      <w:pPr>
        <w:rPr>
          <w:sz w:val="22"/>
          <w:szCs w:val="22"/>
        </w:rPr>
      </w:pPr>
      <w:r w:rsidDel="00000000" w:rsidR="00000000" w:rsidRPr="00000000">
        <w:rPr>
          <w:sz w:val="22"/>
          <w:szCs w:val="22"/>
          <w:rtl w:val="0"/>
        </w:rPr>
        <w:tab/>
        <w:tab/>
        <w:t xml:space="preserve">Homework/Classwork/Other:  20%</w:t>
      </w:r>
    </w:p>
    <w:p w:rsidR="00000000" w:rsidDel="00000000" w:rsidP="00000000" w:rsidRDefault="00000000" w:rsidRPr="00000000" w14:paraId="0000001E">
      <w:pPr>
        <w:rPr>
          <w:b w:val="1"/>
          <w:sz w:val="22"/>
          <w:szCs w:val="22"/>
        </w:rPr>
      </w:pPr>
      <w:r w:rsidDel="00000000" w:rsidR="00000000" w:rsidRPr="00000000">
        <w:rPr>
          <w:rtl w:val="0"/>
        </w:rPr>
      </w:r>
    </w:p>
    <w:p w:rsidR="00000000" w:rsidDel="00000000" w:rsidP="00000000" w:rsidRDefault="00000000" w:rsidRPr="00000000" w14:paraId="0000001F">
      <w:pPr>
        <w:rPr>
          <w:b w:val="1"/>
          <w:sz w:val="22"/>
          <w:szCs w:val="22"/>
        </w:rPr>
      </w:pPr>
      <w:r w:rsidDel="00000000" w:rsidR="00000000" w:rsidRPr="00000000">
        <w:rPr>
          <w:b w:val="1"/>
          <w:sz w:val="22"/>
          <w:szCs w:val="22"/>
          <w:rtl w:val="0"/>
        </w:rPr>
        <w:t xml:space="preserve">Resources:  </w:t>
      </w:r>
    </w:p>
    <w:p w:rsidR="00000000" w:rsidDel="00000000" w:rsidP="00000000" w:rsidRDefault="00000000" w:rsidRPr="00000000" w14:paraId="00000020">
      <w:pPr>
        <w:rPr>
          <w:b w:val="1"/>
          <w:sz w:val="22"/>
          <w:szCs w:val="22"/>
        </w:rPr>
      </w:pPr>
      <w:r w:rsidDel="00000000" w:rsidR="00000000" w:rsidRPr="00000000">
        <w:rPr>
          <w:rtl w:val="0"/>
        </w:rPr>
      </w:r>
    </w:p>
    <w:p w:rsidR="00000000" w:rsidDel="00000000" w:rsidP="00000000" w:rsidRDefault="00000000" w:rsidRPr="00000000" w14:paraId="00000021">
      <w:pPr>
        <w:rPr>
          <w:sz w:val="22"/>
          <w:szCs w:val="22"/>
          <w:u w:val="single"/>
        </w:rPr>
      </w:pPr>
      <w:r w:rsidDel="00000000" w:rsidR="00000000" w:rsidRPr="00000000">
        <w:rPr>
          <w:sz w:val="22"/>
          <w:szCs w:val="22"/>
          <w:u w:val="single"/>
          <w:rtl w:val="0"/>
        </w:rPr>
        <w:t xml:space="preserve">Algebra II, Carnegie Learning High School Math Solution First </w:t>
      </w:r>
      <w:r w:rsidDel="00000000" w:rsidR="00000000" w:rsidRPr="00000000">
        <w:rPr>
          <w:sz w:val="22"/>
          <w:szCs w:val="22"/>
          <w:u w:val="single"/>
          <w:rtl w:val="0"/>
        </w:rPr>
        <w:t xml:space="preserve">Edition</w:t>
      </w:r>
    </w:p>
    <w:p w:rsidR="00000000" w:rsidDel="00000000" w:rsidP="00000000" w:rsidRDefault="00000000" w:rsidRPr="00000000" w14:paraId="00000022">
      <w:pPr>
        <w:rPr>
          <w:sz w:val="22"/>
          <w:szCs w:val="22"/>
        </w:rPr>
      </w:pPr>
      <w:r w:rsidDel="00000000" w:rsidR="00000000" w:rsidRPr="00000000">
        <w:rPr>
          <w:sz w:val="22"/>
          <w:szCs w:val="22"/>
          <w:rtl w:val="0"/>
        </w:rPr>
        <w:t xml:space="preserve">Students will be receiving consumable textbooks.  STUDENTS ARE RESPONSIBLE FOR BRINGING TEXTBOOKS TO CLASS DAILY.  Students will be charged if a replacement book is needed. </w:t>
      </w:r>
    </w:p>
    <w:p w:rsidR="00000000" w:rsidDel="00000000" w:rsidP="00000000" w:rsidRDefault="00000000" w:rsidRPr="00000000" w14:paraId="00000023">
      <w:pPr>
        <w:rPr>
          <w:sz w:val="22"/>
          <w:szCs w:val="22"/>
        </w:rPr>
      </w:pPr>
      <w:r w:rsidDel="00000000" w:rsidR="00000000" w:rsidRPr="00000000">
        <w:rPr>
          <w:rtl w:val="0"/>
        </w:rPr>
      </w:r>
    </w:p>
    <w:p w:rsidR="00000000" w:rsidDel="00000000" w:rsidP="00000000" w:rsidRDefault="00000000" w:rsidRPr="00000000" w14:paraId="00000024">
      <w:pPr>
        <w:rPr>
          <w:sz w:val="22"/>
          <w:szCs w:val="22"/>
        </w:rPr>
      </w:pPr>
      <w:r w:rsidDel="00000000" w:rsidR="00000000" w:rsidRPr="00000000">
        <w:rPr>
          <w:sz w:val="22"/>
          <w:szCs w:val="22"/>
          <w:u w:val="single"/>
          <w:rtl w:val="0"/>
        </w:rPr>
        <w:t xml:space="preserve">TI-Nspire CX</w:t>
      </w:r>
      <w:r w:rsidDel="00000000" w:rsidR="00000000" w:rsidRPr="00000000">
        <w:rPr>
          <w:sz w:val="22"/>
          <w:szCs w:val="22"/>
          <w:rtl w:val="0"/>
        </w:rPr>
        <w:t xml:space="preserve"> calculators will be available for students to use while in the classroom for testing.  </w:t>
      </w:r>
    </w:p>
    <w:p w:rsidR="00000000" w:rsidDel="00000000" w:rsidP="00000000" w:rsidRDefault="00000000" w:rsidRPr="00000000" w14:paraId="00000025">
      <w:pPr>
        <w:rPr>
          <w:sz w:val="22"/>
          <w:szCs w:val="22"/>
        </w:rPr>
      </w:pPr>
      <w:r w:rsidDel="00000000" w:rsidR="00000000" w:rsidRPr="00000000">
        <w:rPr>
          <w:rtl w:val="0"/>
        </w:rPr>
      </w:r>
    </w:p>
    <w:p w:rsidR="00000000" w:rsidDel="00000000" w:rsidP="00000000" w:rsidRDefault="00000000" w:rsidRPr="00000000" w14:paraId="00000026">
      <w:pPr>
        <w:rPr>
          <w:b w:val="1"/>
          <w:sz w:val="22"/>
          <w:szCs w:val="22"/>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Supplies: </w:t>
      </w:r>
    </w:p>
    <w:p w:rsidR="00000000" w:rsidDel="00000000" w:rsidP="00000000" w:rsidRDefault="00000000" w:rsidRPr="00000000" w14:paraId="0000002D">
      <w:pPr>
        <w:numPr>
          <w:ilvl w:val="0"/>
          <w:numId w:val="1"/>
        </w:numPr>
        <w:ind w:left="720" w:hanging="360"/>
        <w:rPr/>
      </w:pPr>
      <w:r w:rsidDel="00000000" w:rsidR="00000000" w:rsidRPr="00000000">
        <w:rPr>
          <w:rtl w:val="0"/>
        </w:rPr>
        <w:t xml:space="preserve">Three-ring Binder (1 or 1 ½ inch)</w:t>
      </w:r>
    </w:p>
    <w:p w:rsidR="00000000" w:rsidDel="00000000" w:rsidP="00000000" w:rsidRDefault="00000000" w:rsidRPr="00000000" w14:paraId="0000002E">
      <w:pPr>
        <w:numPr>
          <w:ilvl w:val="0"/>
          <w:numId w:val="1"/>
        </w:numPr>
        <w:ind w:left="720" w:hanging="360"/>
        <w:rPr/>
      </w:pPr>
      <w:r w:rsidDel="00000000" w:rsidR="00000000" w:rsidRPr="00000000">
        <w:rPr>
          <w:rtl w:val="0"/>
        </w:rPr>
        <w:t xml:space="preserve">Notebook Paper </w:t>
      </w:r>
    </w:p>
    <w:p w:rsidR="00000000" w:rsidDel="00000000" w:rsidP="00000000" w:rsidRDefault="00000000" w:rsidRPr="00000000" w14:paraId="0000002F">
      <w:pPr>
        <w:numPr>
          <w:ilvl w:val="0"/>
          <w:numId w:val="1"/>
        </w:numPr>
        <w:ind w:left="720" w:hanging="360"/>
        <w:rPr/>
      </w:pPr>
      <w:r w:rsidDel="00000000" w:rsidR="00000000" w:rsidRPr="00000000">
        <w:rPr>
          <w:rtl w:val="0"/>
        </w:rPr>
        <w:t xml:space="preserve">Graph Paper </w:t>
      </w:r>
    </w:p>
    <w:p w:rsidR="00000000" w:rsidDel="00000000" w:rsidP="00000000" w:rsidRDefault="00000000" w:rsidRPr="00000000" w14:paraId="00000030">
      <w:pPr>
        <w:numPr>
          <w:ilvl w:val="0"/>
          <w:numId w:val="1"/>
        </w:numPr>
        <w:ind w:left="720" w:hanging="360"/>
        <w:rPr/>
      </w:pPr>
      <w:r w:rsidDel="00000000" w:rsidR="00000000" w:rsidRPr="00000000">
        <w:rPr>
          <w:rtl w:val="0"/>
        </w:rPr>
        <w:t xml:space="preserve">Pencils and Erasers</w:t>
      </w:r>
    </w:p>
    <w:p w:rsidR="00000000" w:rsidDel="00000000" w:rsidP="00000000" w:rsidRDefault="00000000" w:rsidRPr="00000000" w14:paraId="00000031">
      <w:pPr>
        <w:numPr>
          <w:ilvl w:val="0"/>
          <w:numId w:val="1"/>
        </w:numPr>
        <w:ind w:left="720" w:hanging="360"/>
        <w:rPr/>
      </w:pPr>
      <w:r w:rsidDel="00000000" w:rsidR="00000000" w:rsidRPr="00000000">
        <w:rPr>
          <w:rtl w:val="0"/>
        </w:rPr>
        <w:t xml:space="preserve">Highlighters </w:t>
      </w:r>
    </w:p>
    <w:p w:rsidR="00000000" w:rsidDel="00000000" w:rsidP="00000000" w:rsidRDefault="00000000" w:rsidRPr="00000000" w14:paraId="00000032">
      <w:pPr>
        <w:numPr>
          <w:ilvl w:val="0"/>
          <w:numId w:val="1"/>
        </w:numPr>
        <w:ind w:left="720" w:hanging="360"/>
        <w:rPr/>
      </w:pPr>
      <w:r w:rsidDel="00000000" w:rsidR="00000000" w:rsidRPr="00000000">
        <w:rPr>
          <w:rtl w:val="0"/>
        </w:rPr>
        <w:t xml:space="preserve">1 Box of Tissues (To be left at school.)</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ind w:left="720" w:firstLine="0"/>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Calculator.  Students will be supplied a calculator to use while in class and on tests. Students may wish to purchase their own calculator for home use, and use on the ACT (junior year). This is not required. All math classes at Chester County High School will be using the </w:t>
      </w:r>
      <w:r w:rsidDel="00000000" w:rsidR="00000000" w:rsidRPr="00000000">
        <w:rPr>
          <w:b w:val="1"/>
          <w:rtl w:val="0"/>
        </w:rPr>
        <w:t xml:space="preserve">TI-Nspire CX</w:t>
      </w:r>
      <w:r w:rsidDel="00000000" w:rsidR="00000000" w:rsidRPr="00000000">
        <w:rPr>
          <w:rtl w:val="0"/>
        </w:rPr>
        <w:t xml:space="preserve"> calculators. This may be the best choice, if the student wishes to purchase a calculator, so that it will be streamlined with their high school courses.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headerReference r:id="rId7" w:type="default"/>
      <w:headerReference r:id="rId8" w:type="first"/>
      <w:footerReference r:id="rId9" w:type="first"/>
      <w:pgSz w:h="15840" w:w="12240"/>
      <w:pgMar w:bottom="720" w:top="720" w:left="720" w:right="720" w:header="288"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t xml:space="preserve">Algebra II</w:t>
      <w:tab/>
      <w:tab/>
      <w:tab/>
      <w:tab/>
      <w:tab/>
      <w:t xml:space="preserve">Ellington, 2018-2019</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tn.gov/content/dam/tn/education/standards/math/stds_math.pdf"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