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50E28" w:rsidRPr="00450E28" w:rsidTr="00450E28">
        <w:trPr>
          <w:tblCellSpacing w:w="0" w:type="dxa"/>
        </w:trPr>
        <w:tc>
          <w:tcPr>
            <w:tcW w:w="0" w:type="auto"/>
            <w:vAlign w:val="center"/>
            <w:hideMark/>
          </w:tcPr>
          <w:p w:rsidR="00450E28" w:rsidRDefault="00450E28" w:rsidP="00450E28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7"/>
                <w:szCs w:val="17"/>
              </w:rPr>
            </w:pPr>
            <w:bookmarkStart w:id="0" w:name="_GoBack"/>
            <w:r w:rsidRPr="00450E28">
              <w:rPr>
                <w:rFonts w:ascii="Arial" w:eastAsia="Times New Roman" w:hAnsi="Arial" w:cs="Arial"/>
                <w:b/>
                <w:bCs/>
                <w:color w:val="02173E"/>
                <w:kern w:val="36"/>
                <w:sz w:val="27"/>
                <w:szCs w:val="27"/>
                <w:lang w:val="en"/>
              </w:rPr>
              <w:t>Nor</w:t>
            </w:r>
            <w:r>
              <w:rPr>
                <w:rFonts w:ascii="Arial" w:eastAsia="Times New Roman" w:hAnsi="Arial" w:cs="Arial"/>
                <w:b/>
                <w:bCs/>
                <w:color w:val="02173E"/>
                <w:kern w:val="36"/>
                <w:sz w:val="27"/>
                <w:szCs w:val="27"/>
                <w:lang w:val="en"/>
              </w:rPr>
              <w:t>m</w:t>
            </w:r>
            <w:r w:rsidRPr="00450E28">
              <w:rPr>
                <w:rFonts w:ascii="Arial" w:eastAsia="Times New Roman" w:hAnsi="Arial" w:cs="Arial"/>
                <w:b/>
                <w:bCs/>
                <w:color w:val="02173E"/>
                <w:kern w:val="36"/>
                <w:sz w:val="27"/>
                <w:szCs w:val="27"/>
                <w:lang w:val="en"/>
              </w:rPr>
              <w:t>al Development</w:t>
            </w:r>
            <w:r w:rsidRPr="00450E28">
              <w:rPr>
                <w:rFonts w:ascii="Arial" w:eastAsia="Times New Roman" w:hAnsi="Arial" w:cs="Arial"/>
                <w:color w:val="464646"/>
                <w:sz w:val="17"/>
                <w:szCs w:val="17"/>
              </w:rPr>
              <w:t> </w:t>
            </w:r>
          </w:p>
          <w:bookmarkEnd w:id="0"/>
          <w:p w:rsidR="00450E28" w:rsidRDefault="00450E28" w:rsidP="00450E28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7"/>
                <w:szCs w:val="17"/>
              </w:rPr>
            </w:pPr>
          </w:p>
          <w:p w:rsidR="00450E28" w:rsidRPr="00450E28" w:rsidRDefault="00450E28" w:rsidP="0045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17"/>
                <w:szCs w:val="17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7"/>
              <w:gridCol w:w="2296"/>
              <w:gridCol w:w="2344"/>
              <w:gridCol w:w="2387"/>
            </w:tblGrid>
            <w:tr w:rsidR="00450E28" w:rsidRPr="00450E28">
              <w:trPr>
                <w:tblCellSpacing w:w="0" w:type="dxa"/>
              </w:trPr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E28" w:rsidRPr="00450E28" w:rsidRDefault="00450E28" w:rsidP="00450E28">
                  <w:pPr>
                    <w:spacing w:before="15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0E28">
                    <w:rPr>
                      <w:rFonts w:ascii="Arial" w:eastAsia="Times New Roman" w:hAnsi="Arial" w:cs="Arial"/>
                      <w:b/>
                      <w:bCs/>
                      <w:color w:val="464646"/>
                      <w:sz w:val="17"/>
                      <w:szCs w:val="17"/>
                    </w:rPr>
                    <w:t>Preschoolers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E28" w:rsidRPr="00450E28" w:rsidRDefault="00450E28" w:rsidP="00450E28">
                  <w:pPr>
                    <w:spacing w:before="15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b/>
                      <w:bCs/>
                      <w:color w:val="464646"/>
                      <w:sz w:val="17"/>
                      <w:szCs w:val="17"/>
                    </w:rPr>
                    <w:t>Kindergarteners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E28" w:rsidRPr="00450E28" w:rsidRDefault="00450E28" w:rsidP="00450E28">
                  <w:pPr>
                    <w:spacing w:before="15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b/>
                      <w:bCs/>
                      <w:color w:val="464646"/>
                      <w:sz w:val="17"/>
                      <w:szCs w:val="17"/>
                    </w:rPr>
                    <w:t>Students in Grades 1 &amp; 2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E28" w:rsidRPr="00450E28" w:rsidRDefault="00450E28" w:rsidP="00450E28">
                  <w:pPr>
                    <w:spacing w:before="150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b/>
                      <w:bCs/>
                      <w:color w:val="464646"/>
                      <w:sz w:val="17"/>
                      <w:szCs w:val="17"/>
                    </w:rPr>
                    <w:t>Students in Grades 3, 4, &amp; 5</w:t>
                  </w:r>
                </w:p>
              </w:tc>
            </w:tr>
            <w:tr w:rsidR="00450E28" w:rsidRPr="00450E28">
              <w:trPr>
                <w:trHeight w:val="7725"/>
                <w:tblCellSpacing w:w="0" w:type="dxa"/>
              </w:trPr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E28" w:rsidRPr="00450E28" w:rsidRDefault="00450E28" w:rsidP="00450E2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Comprehend approximately 1200 to 2000 words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Can be understood about 80% (or more) of the time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Produce short sentences (4-5 words) that often have grammar and/or word order errors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Talk about the “here and now” (what they are seeing, hearing and feeling in the present)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 xml:space="preserve">Cannot accurately describe what happened during an event (e.g., a fall on the </w:t>
                  </w:r>
                  <w:proofErr w:type="spellStart"/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playscape</w:t>
                  </w:r>
                  <w:proofErr w:type="spellEnd"/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); their descriptions have a story-like quality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May resort to 1-2 word phrases when hurt or confused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Produce rapid topic shifts in their conversations, making it difficult at times to follow their train of thought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Interrupt frequently (or yell) to capture a turn in the conversation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Enjoy “playing” with language (e.g., singing, rhyming, etc.)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Use language to take roles during play; use play to re-enact a troubling event (e.g., peer conflict, a bee sting)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E28" w:rsidRPr="00450E28" w:rsidRDefault="00450E28" w:rsidP="00450E2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Comprehend approximately 2500-2800 words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Use about 1500 to 2000 words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Can be understood about 90% (or more) of the time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 xml:space="preserve">Engage in extended conversations using multi-word sentences (5 to 8 words); a few grammar errors persist (e.g., </w:t>
                  </w:r>
                  <w:r w:rsidRPr="00450E28">
                    <w:rPr>
                      <w:rFonts w:ascii="Arial" w:eastAsia="Times New Roman" w:hAnsi="Arial" w:cs="Arial"/>
                      <w:i/>
                      <w:iCs/>
                      <w:color w:val="464646"/>
                      <w:sz w:val="17"/>
                      <w:szCs w:val="17"/>
                    </w:rPr>
                    <w:t xml:space="preserve">“I </w:t>
                  </w:r>
                  <w:proofErr w:type="spellStart"/>
                  <w:r w:rsidRPr="00450E28">
                    <w:rPr>
                      <w:rFonts w:ascii="Arial" w:eastAsia="Times New Roman" w:hAnsi="Arial" w:cs="Arial"/>
                      <w:i/>
                      <w:iCs/>
                      <w:color w:val="464646"/>
                      <w:sz w:val="17"/>
                      <w:szCs w:val="17"/>
                    </w:rPr>
                    <w:t>breaked</w:t>
                  </w:r>
                  <w:proofErr w:type="spellEnd"/>
                  <w:r w:rsidRPr="00450E28">
                    <w:rPr>
                      <w:rFonts w:ascii="Arial" w:eastAsia="Times New Roman" w:hAnsi="Arial" w:cs="Arial"/>
                      <w:i/>
                      <w:iCs/>
                      <w:color w:val="464646"/>
                      <w:sz w:val="17"/>
                      <w:szCs w:val="17"/>
                    </w:rPr>
                    <w:t xml:space="preserve"> it.”</w:t>
                  </w: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)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Can talk about what happened yesterday or what may occur tomorrow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Can handle conversations involving two partners, but struggle with three-party interactions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Relate simple stories about their personal experiences from the recent past (e.g., an illness); however, their stories lack detail and do not take into account the listener’s need for background information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 xml:space="preserve">Use subtle and various ways of requesting (e.g., </w:t>
                  </w:r>
                  <w:r w:rsidRPr="00450E28">
                    <w:rPr>
                      <w:rFonts w:ascii="Arial" w:eastAsia="Times New Roman" w:hAnsi="Arial" w:cs="Arial"/>
                      <w:i/>
                      <w:iCs/>
                      <w:color w:val="464646"/>
                      <w:sz w:val="17"/>
                      <w:szCs w:val="17"/>
                    </w:rPr>
                    <w:t>“I just love orange juice.”)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i/>
                      <w:iCs/>
                      <w:color w:val="464646"/>
                      <w:sz w:val="17"/>
                      <w:szCs w:val="17"/>
                    </w:rPr>
                    <w:t>Use highly imaginative language and frequently take on the role of a fictional character during play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E28" w:rsidRPr="00450E28" w:rsidRDefault="00450E28" w:rsidP="00450E2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Comprehend approximately 13,000 words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Can be understood 95-100% of the time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Use adult-like grammar and word order in their oral language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 xml:space="preserve">Have learned the “rules” of conversational etiquette (e.g., </w:t>
                  </w:r>
                  <w:r w:rsidRPr="00450E28">
                    <w:rPr>
                      <w:rFonts w:ascii="Arial" w:eastAsia="Times New Roman" w:hAnsi="Arial" w:cs="Arial"/>
                      <w:i/>
                      <w:iCs/>
                      <w:color w:val="464646"/>
                      <w:sz w:val="17"/>
                      <w:szCs w:val="17"/>
                    </w:rPr>
                    <w:t>Excuse me,”</w:t>
                  </w: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, etc.)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Can initiate and sustain conversations over multiple turns (5 or more) with two or more partners (e.g., recess or cooperative group exchanges)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Produce stories that “center” around a theme and contain a logical “chain” of events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Become more explicit in their language when they perceive that the listener is not understanding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Follow spoken and unspoken rules about communication and behavior in school, including when to talk, when not to talk and how to speak to adults vs. peers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 xml:space="preserve">Use language to learn about the world (e.g., </w:t>
                  </w:r>
                  <w:r w:rsidRPr="00450E28">
                    <w:rPr>
                      <w:rFonts w:ascii="Arial" w:eastAsia="Times New Roman" w:hAnsi="Arial" w:cs="Arial"/>
                      <w:i/>
                      <w:iCs/>
                      <w:color w:val="464646"/>
                      <w:sz w:val="17"/>
                      <w:szCs w:val="17"/>
                    </w:rPr>
                    <w:t>“Why can I hear my voice when I put my hands over my ears?”</w:t>
                  </w: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0E28" w:rsidRPr="00450E28" w:rsidRDefault="00450E28" w:rsidP="00450E2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Comprehend approximately 20,000 to 40,000 words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Formulate descriptions of events that are increasingly more precise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 xml:space="preserve">Understand and produce simple figurative language, including similes, metaphors and idioms (e.g., </w:t>
                  </w:r>
                  <w:r w:rsidRPr="00450E28">
                    <w:rPr>
                      <w:rFonts w:ascii="Arial" w:eastAsia="Times New Roman" w:hAnsi="Arial" w:cs="Arial"/>
                      <w:i/>
                      <w:iCs/>
                      <w:color w:val="464646"/>
                      <w:sz w:val="17"/>
                      <w:szCs w:val="17"/>
                    </w:rPr>
                    <w:t>“It’s raining cats and dogs.”  “She eats like a bird.”  “We’ll play it by ear.”</w:t>
                  </w: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)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Appreciate the humor in jokes that rely on words with multiple meanings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Are conversationally competent; can use language to manipulate the behaviors, feelings and attitudes of other people; can transition from one topic to a related or new topic with ease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Can adjust vocabulary and modify language style (e.g., the rate of speech or the complexity of the message) to accommodate listeners of varying ages, backgrounds and genders</w:t>
                  </w:r>
                </w:p>
                <w:p w:rsidR="00450E28" w:rsidRPr="00450E28" w:rsidRDefault="00450E28" w:rsidP="00450E2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  <w:r w:rsidRPr="00450E28"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  <w:t>Can discuss abstract concepts and ideas that are not within their personal experience (e.g., how blood circulates through the chambers of the heart; what Eskimo children eat and how they travel to school, etc.) </w:t>
                  </w:r>
                </w:p>
              </w:tc>
            </w:tr>
          </w:tbl>
          <w:p w:rsidR="00450E28" w:rsidRPr="00450E28" w:rsidRDefault="00450E28" w:rsidP="00450E28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464646"/>
                <w:sz w:val="17"/>
                <w:szCs w:val="17"/>
              </w:rPr>
            </w:pPr>
            <w:r w:rsidRPr="00450E28">
              <w:rPr>
                <w:rFonts w:ascii="Arial" w:eastAsia="Times New Roman" w:hAnsi="Arial" w:cs="Arial"/>
                <w:color w:val="464646"/>
                <w:sz w:val="17"/>
                <w:szCs w:val="17"/>
              </w:rPr>
              <w:t>Adapted from Typical Speech and Language Development:  A Checklist for School Nurses</w:t>
            </w:r>
          </w:p>
          <w:p w:rsidR="00450E28" w:rsidRDefault="00450E28" w:rsidP="00450E28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464646"/>
                <w:sz w:val="17"/>
                <w:szCs w:val="17"/>
              </w:rPr>
            </w:pPr>
            <w:r w:rsidRPr="00450E28">
              <w:rPr>
                <w:rFonts w:ascii="Arial" w:eastAsia="Times New Roman" w:hAnsi="Arial" w:cs="Arial"/>
                <w:color w:val="464646"/>
                <w:sz w:val="17"/>
                <w:szCs w:val="17"/>
              </w:rPr>
              <w:t xml:space="preserve">Donna D. Merritt, Ph.D., CCC     SERC  </w:t>
            </w:r>
            <w:hyperlink r:id="rId5" w:history="1">
              <w:r w:rsidRPr="00450E28">
                <w:rPr>
                  <w:rFonts w:ascii="Arial" w:eastAsia="Times New Roman" w:hAnsi="Arial" w:cs="Arial"/>
                  <w:color w:val="0000FF"/>
                  <w:sz w:val="17"/>
                  <w:szCs w:val="17"/>
                </w:rPr>
                <w:t>http://www.ctserc.org</w:t>
              </w:r>
            </w:hyperlink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50E28" w:rsidRPr="00450E28" w:rsidTr="00450E2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0E28" w:rsidRPr="00450E28" w:rsidRDefault="00450E28" w:rsidP="00450E28">
                  <w:pPr>
                    <w:spacing w:before="150" w:after="100" w:afterAutospacing="1" w:line="240" w:lineRule="auto"/>
                    <w:rPr>
                      <w:rFonts w:ascii="Arial" w:eastAsia="Times New Roman" w:hAnsi="Arial" w:cs="Arial"/>
                      <w:color w:val="464646"/>
                      <w:sz w:val="17"/>
                      <w:szCs w:val="17"/>
                    </w:rPr>
                  </w:pPr>
                </w:p>
              </w:tc>
            </w:tr>
          </w:tbl>
          <w:p w:rsidR="00450E28" w:rsidRDefault="00450E28" w:rsidP="00450E28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464646"/>
                <w:sz w:val="17"/>
                <w:szCs w:val="17"/>
              </w:rPr>
            </w:pPr>
          </w:p>
          <w:p w:rsidR="00450E28" w:rsidRPr="00450E28" w:rsidRDefault="00450E28" w:rsidP="00450E28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464646"/>
                <w:sz w:val="17"/>
                <w:szCs w:val="17"/>
              </w:rPr>
            </w:pPr>
          </w:p>
        </w:tc>
      </w:tr>
    </w:tbl>
    <w:p w:rsidR="00450E28" w:rsidRDefault="00450E28" w:rsidP="00450E28"/>
    <w:sectPr w:rsidR="00450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5427"/>
    <w:multiLevelType w:val="multilevel"/>
    <w:tmpl w:val="44DC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B12E2"/>
    <w:multiLevelType w:val="multilevel"/>
    <w:tmpl w:val="3A86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30F8F"/>
    <w:multiLevelType w:val="multilevel"/>
    <w:tmpl w:val="19AC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926A7"/>
    <w:multiLevelType w:val="multilevel"/>
    <w:tmpl w:val="22CC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D6A25"/>
    <w:multiLevelType w:val="multilevel"/>
    <w:tmpl w:val="BA8A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41250"/>
    <w:multiLevelType w:val="multilevel"/>
    <w:tmpl w:val="9028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10E7D"/>
    <w:multiLevelType w:val="multilevel"/>
    <w:tmpl w:val="1FF0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B3735F"/>
    <w:multiLevelType w:val="multilevel"/>
    <w:tmpl w:val="9DDA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ED2717"/>
    <w:multiLevelType w:val="multilevel"/>
    <w:tmpl w:val="C6E8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6D2176"/>
    <w:multiLevelType w:val="multilevel"/>
    <w:tmpl w:val="C00C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0803C5"/>
    <w:multiLevelType w:val="multilevel"/>
    <w:tmpl w:val="8BA0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28"/>
    <w:rsid w:val="00450E28"/>
    <w:rsid w:val="007B6C67"/>
    <w:rsid w:val="0081162C"/>
    <w:rsid w:val="00843C4F"/>
    <w:rsid w:val="008C041F"/>
    <w:rsid w:val="00C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729F"/>
  <w15:chartTrackingRefBased/>
  <w15:docId w15:val="{B32D02C9-2369-4D44-8A98-E4C0631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1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8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tser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Neita Rader</dc:creator>
  <cp:keywords/>
  <dc:description/>
  <cp:lastModifiedBy>Castle, Melissa</cp:lastModifiedBy>
  <cp:revision>2</cp:revision>
  <dcterms:created xsi:type="dcterms:W3CDTF">2020-01-10T20:35:00Z</dcterms:created>
  <dcterms:modified xsi:type="dcterms:W3CDTF">2020-01-10T20:35:00Z</dcterms:modified>
</cp:coreProperties>
</file>