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90"/>
              <w:rPr>
                <w:rFonts w:ascii="Pacifico" w:cs="Pacifico" w:eastAsia="Pacifico" w:hAnsi="Pacifico"/>
                <w:color w:val="20124d"/>
              </w:rPr>
            </w:pPr>
            <w:bookmarkStart w:colFirst="0" w:colLast="0" w:name="_nmkp2h9lzrho" w:id="0"/>
            <w:bookmarkEnd w:id="0"/>
            <w:r w:rsidDel="00000000" w:rsidR="00000000" w:rsidRPr="00000000">
              <w:rPr>
                <w:rFonts w:ascii="Pacifico" w:cs="Pacifico" w:eastAsia="Pacifico" w:hAnsi="Pacifico"/>
                <w:color w:val="20124d"/>
                <w:rtl w:val="0"/>
              </w:rPr>
              <w:t xml:space="preserve">Career Preparedness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firstLine="0"/>
              <w:rPr>
                <w:rFonts w:ascii="Pacifico" w:cs="Pacifico" w:eastAsia="Pacifico" w:hAnsi="Pacifico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Pacifico" w:cs="Pacifico" w:eastAsia="Pacifico" w:hAnsi="Pacifico"/>
                <w:color w:val="0000ff"/>
                <w:sz w:val="36"/>
                <w:szCs w:val="36"/>
                <w:rtl w:val="0"/>
              </w:rPr>
              <w:t xml:space="preserve">Mrs. Sherri Evans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552 South Main Street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Brundidge, AL. 36010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(334) 735-2389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color w:val="1155cc"/>
                  <w:sz w:val="16"/>
                  <w:szCs w:val="16"/>
                  <w:u w:val="single"/>
                  <w:rtl w:val="0"/>
                </w:rPr>
                <w:t xml:space="preserve">Sevans@pikecountyschools.com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b w:val="1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36"/>
                <w:szCs w:val="36"/>
                <w:u w:val="single"/>
                <w:rtl w:val="0"/>
              </w:rPr>
              <w:t xml:space="preserve">Syllabus</w:t>
            </w:r>
          </w:p>
        </w:tc>
      </w:tr>
      <w:tr>
        <w:trPr>
          <w:trHeight w:val="12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="24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Course Information (from the Alabama Course of Study):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color w:val="000000"/>
                <w:rtl w:val="0"/>
              </w:rPr>
              <w:t xml:space="preserve">Career Preparedness is a required one- credit elective for the Alabama High School diploma. Our program goal, as well as the State goal, for Career and Technical Education is to empower students with work-readiness skills necessary for success in the twenty-first century. Career empowered students are productive citizens who are prepared with knowledge and skills for post-secondary education or employment. The Career and Technical Education classroom provides all students with the opportunity to combine academics with high-caliber learning experiences. </w:t>
            </w:r>
          </w:p>
          <w:p w:rsidR="00000000" w:rsidDel="00000000" w:rsidP="00000000" w:rsidRDefault="00000000" w:rsidRPr="00000000" w14:paraId="0000000B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Textbook/Materials: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Sharpened pencil or pen</w:t>
            </w:r>
          </w:p>
          <w:p w:rsidR="00000000" w:rsidDel="00000000" w:rsidP="00000000" w:rsidRDefault="00000000" w:rsidRPr="00000000" w14:paraId="0000000F">
            <w:pPr>
              <w:widowControl w:val="1"/>
              <w:spacing w:before="0" w:line="240" w:lineRule="auto"/>
              <w:ind w:right="0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1” Three- ring binder and notebook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Course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Objectives</w:t>
            </w:r>
            <w:r w:rsidDel="00000000" w:rsidR="00000000" w:rsidRPr="00000000">
              <w:rPr>
                <w:color w:val="000000"/>
                <w:rtl w:val="0"/>
              </w:rPr>
              <w:t xml:space="preserve">: The goals for this course are for students to:</w:t>
            </w:r>
          </w:p>
          <w:p w:rsidR="00000000" w:rsidDel="00000000" w:rsidP="00000000" w:rsidRDefault="00000000" w:rsidRPr="00000000" w14:paraId="00000012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1"/>
              </w:numPr>
              <w:spacing w:before="0" w:line="240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Demonstrate knowledge of personal decision making.</w:t>
            </w:r>
          </w:p>
          <w:p w:rsidR="00000000" w:rsidDel="00000000" w:rsidP="00000000" w:rsidRDefault="00000000" w:rsidRPr="00000000" w14:paraId="00000014">
            <w:pPr>
              <w:widowControl w:val="1"/>
              <w:numPr>
                <w:ilvl w:val="0"/>
                <w:numId w:val="1"/>
              </w:numPr>
              <w:spacing w:before="0" w:line="240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Create academic plans and develop career opportunity skills.</w:t>
            </w:r>
          </w:p>
          <w:p w:rsidR="00000000" w:rsidDel="00000000" w:rsidP="00000000" w:rsidRDefault="00000000" w:rsidRPr="00000000" w14:paraId="00000015">
            <w:pPr>
              <w:widowControl w:val="1"/>
              <w:numPr>
                <w:ilvl w:val="0"/>
                <w:numId w:val="1"/>
              </w:numPr>
              <w:spacing w:before="0" w:line="240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Demonstrate knowledge of technology skills.</w:t>
            </w:r>
          </w:p>
          <w:p w:rsidR="00000000" w:rsidDel="00000000" w:rsidP="00000000" w:rsidRDefault="00000000" w:rsidRPr="00000000" w14:paraId="00000016">
            <w:pPr>
              <w:widowControl w:val="1"/>
              <w:numPr>
                <w:ilvl w:val="0"/>
                <w:numId w:val="1"/>
              </w:numPr>
              <w:spacing w:before="0" w:line="240" w:lineRule="auto"/>
              <w:ind w:left="720" w:right="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Develop plans for managing finances including budgeting, saving and investing, use of credit, and risk management.</w:t>
            </w:r>
          </w:p>
          <w:p w:rsidR="00000000" w:rsidDel="00000000" w:rsidP="00000000" w:rsidRDefault="00000000" w:rsidRPr="00000000" w14:paraId="00000017">
            <w:pPr>
              <w:widowControl w:val="1"/>
              <w:spacing w:before="0" w:line="240" w:lineRule="auto"/>
              <w:ind w:left="72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after="200" w:before="0" w:line="276" w:lineRule="auto"/>
              <w:ind w:right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Course Outline</w:t>
            </w:r>
            <w:r w:rsidDel="00000000" w:rsidR="00000000" w:rsidRPr="00000000">
              <w:rPr>
                <w:color w:val="000000"/>
                <w:rtl w:val="0"/>
              </w:rPr>
              <w:t xml:space="preserve">: The course outline includes the following major content: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Personal Decision Making</w:t>
            </w:r>
          </w:p>
          <w:p w:rsidR="00000000" w:rsidDel="00000000" w:rsidP="00000000" w:rsidRDefault="00000000" w:rsidRPr="00000000" w14:paraId="0000001A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Academic Planning and Career Development</w:t>
            </w:r>
          </w:p>
          <w:p w:rsidR="00000000" w:rsidDel="00000000" w:rsidP="00000000" w:rsidRDefault="00000000" w:rsidRPr="00000000" w14:paraId="0000001B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Technology Skill Applications</w:t>
            </w:r>
          </w:p>
          <w:p w:rsidR="00000000" w:rsidDel="00000000" w:rsidP="00000000" w:rsidRDefault="00000000" w:rsidRPr="00000000" w14:paraId="0000001C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Managing Finances and Budgeting</w:t>
            </w:r>
          </w:p>
          <w:p w:rsidR="00000000" w:rsidDel="00000000" w:rsidP="00000000" w:rsidRDefault="00000000" w:rsidRPr="00000000" w14:paraId="0000001D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Saving and Investing</w:t>
            </w:r>
          </w:p>
          <w:p w:rsidR="00000000" w:rsidDel="00000000" w:rsidP="00000000" w:rsidRDefault="00000000" w:rsidRPr="00000000" w14:paraId="0000001E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Banking and Financial Institutions</w:t>
            </w:r>
          </w:p>
          <w:p w:rsidR="00000000" w:rsidDel="00000000" w:rsidP="00000000" w:rsidRDefault="00000000" w:rsidRPr="00000000" w14:paraId="0000001F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Credit and Debt</w:t>
            </w:r>
          </w:p>
          <w:p w:rsidR="00000000" w:rsidDel="00000000" w:rsidP="00000000" w:rsidRDefault="00000000" w:rsidRPr="00000000" w14:paraId="00000020">
            <w:pPr>
              <w:widowControl w:val="1"/>
              <w:numPr>
                <w:ilvl w:val="0"/>
                <w:numId w:val="2"/>
              </w:numPr>
              <w:spacing w:before="0" w:line="240" w:lineRule="auto"/>
              <w:ind w:left="1080" w:right="0" w:hanging="7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Risk Management and Insurance</w:t>
            </w:r>
          </w:p>
          <w:p w:rsidR="00000000" w:rsidDel="00000000" w:rsidP="00000000" w:rsidRDefault="00000000" w:rsidRPr="00000000" w14:paraId="00000021">
            <w:pPr>
              <w:widowControl w:val="1"/>
              <w:spacing w:before="0" w:line="240" w:lineRule="auto"/>
              <w:ind w:left="1080" w:righ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after="200" w:before="0" w:line="276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Instructional Methods</w:t>
            </w:r>
            <w:r w:rsidDel="00000000" w:rsidR="00000000" w:rsidRPr="00000000">
              <w:rPr>
                <w:color w:val="000000"/>
                <w:rtl w:val="0"/>
              </w:rPr>
              <w:t xml:space="preserve">: Google Classroom, PowerPoint presentations, cooperative group activities, class discussions, demonstrations, note-taking, role-playing, online coursework, pictures and videos, others as needed. </w:t>
            </w:r>
          </w:p>
          <w:p w:rsidR="00000000" w:rsidDel="00000000" w:rsidP="00000000" w:rsidRDefault="00000000" w:rsidRPr="00000000" w14:paraId="00000023">
            <w:pPr>
              <w:widowControl w:val="1"/>
              <w:spacing w:before="0" w:line="276" w:lineRule="auto"/>
              <w:ind w:right="0"/>
              <w:rPr/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Assessment Procedures</w:t>
            </w:r>
            <w:r w:rsidDel="00000000" w:rsidR="00000000" w:rsidRPr="00000000">
              <w:rPr>
                <w:color w:val="000000"/>
                <w:rtl w:val="0"/>
              </w:rPr>
              <w:t xml:space="preserve">: Daily assignments, tests and quizzes, performance assessments, laboratory work, project reports, assignment completion, class discussion/participation, and project presentation are used in assessing student learning and progress throughout the course.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Please note the Exemption Policy for this class in the student handbook.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1"/>
              <w:widowControl w:val="1"/>
              <w:spacing w:after="200" w:before="0" w:lineRule="auto"/>
              <w:ind w:right="0"/>
              <w:rPr>
                <w:rFonts w:ascii="Merriweather" w:cs="Merriweather" w:eastAsia="Merriweather" w:hAnsi="Merriweather"/>
                <w:sz w:val="24"/>
                <w:szCs w:val="24"/>
                <w:u w:val="single"/>
              </w:rPr>
            </w:pPr>
            <w:bookmarkStart w:colFirst="0" w:colLast="0" w:name="_a3d5sgulhumj" w:id="1"/>
            <w:bookmarkEnd w:id="1"/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u w:val="single"/>
                <w:rtl w:val="0"/>
              </w:rPr>
              <w:t xml:space="preserve">ClassRoom Rules:</w:t>
            </w:r>
          </w:p>
          <w:p w:rsidR="00000000" w:rsidDel="00000000" w:rsidP="00000000" w:rsidRDefault="00000000" w:rsidRPr="00000000" w14:paraId="00000027">
            <w:pPr>
              <w:pStyle w:val="Heading1"/>
              <w:widowControl w:val="1"/>
              <w:spacing w:after="200" w:before="0" w:lineRule="auto"/>
              <w:ind w:right="0"/>
              <w:rPr>
                <w:rFonts w:ascii="Merriweather" w:cs="Merriweather" w:eastAsia="Merriweather" w:hAnsi="Merriweather"/>
              </w:rPr>
            </w:pPr>
            <w:bookmarkStart w:colFirst="0" w:colLast="0" w:name="_okon2edszka9" w:id="2"/>
            <w:bookmarkEnd w:id="2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Be Resourceful</w:t>
            </w:r>
          </w:p>
          <w:p w:rsidR="00000000" w:rsidDel="00000000" w:rsidP="00000000" w:rsidRDefault="00000000" w:rsidRPr="00000000" w14:paraId="00000028">
            <w:pPr>
              <w:pStyle w:val="Heading1"/>
              <w:widowControl w:val="1"/>
              <w:spacing w:after="200" w:before="0" w:lineRule="auto"/>
              <w:ind w:right="0"/>
              <w:rPr>
                <w:rFonts w:ascii="Merriweather" w:cs="Merriweather" w:eastAsia="Merriweather" w:hAnsi="Merriweather"/>
              </w:rPr>
            </w:pPr>
            <w:bookmarkStart w:colFirst="0" w:colLast="0" w:name="_zcdqdrp04h92" w:id="3"/>
            <w:bookmarkEnd w:id="3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Be Respectful</w:t>
            </w:r>
          </w:p>
          <w:p w:rsidR="00000000" w:rsidDel="00000000" w:rsidP="00000000" w:rsidRDefault="00000000" w:rsidRPr="00000000" w14:paraId="00000029">
            <w:pPr>
              <w:pStyle w:val="Heading1"/>
              <w:widowControl w:val="1"/>
              <w:spacing w:after="200" w:before="0" w:lineRule="auto"/>
              <w:ind w:right="0"/>
              <w:rPr/>
            </w:pPr>
            <w:bookmarkStart w:colFirst="0" w:colLast="0" w:name="_2ux43lhdfhc1" w:id="4"/>
            <w:bookmarkEnd w:id="4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Be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b w:val="1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Weekly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u w:val="single"/>
                <w:rtl w:val="0"/>
              </w:rPr>
              <w:t xml:space="preserve">Breakdown (Standard)</w:t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1- Introduction, Personal Decision Making(1)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2- Technology Skill Application(3)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3- Academic Planning(2)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4-Career Development(2)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5-Career Development(2)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6-Managing Finances(4)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7- Budgeting(4)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8-Saving (5)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9-Investing(5)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10-Banking(6)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11-Financial Institution(6)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12-Scholarship and Work Study(4)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13-Career Academy Exploration(2)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14-Credit(7)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15-Debt(7)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16-Risk Management(8)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17- Insurance(8)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Week 18- Review, Finals, and Conclusion(1-8)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0" w:lineRule="auto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Grading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90-100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 80-89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 70-79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 60-69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Behavior Plan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First Offense- Warning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Second Offense- Student Conference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Third Offense- Parent Contact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Fourth Offense- Parent Conference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Fifth Offense- Referral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Nine Week Grading Practices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50%: Exams and projects</w:t>
            </w:r>
          </w:p>
          <w:p w:rsidR="00000000" w:rsidDel="00000000" w:rsidP="00000000" w:rsidRDefault="00000000" w:rsidRPr="00000000" w14:paraId="0000004D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50%: In-Class assignments and Homework.</w:t>
            </w:r>
          </w:p>
          <w:p w:rsidR="00000000" w:rsidDel="00000000" w:rsidP="00000000" w:rsidRDefault="00000000" w:rsidRPr="00000000" w14:paraId="0000004E">
            <w:pPr>
              <w:widowControl w:val="1"/>
              <w:spacing w:before="0" w:line="240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after="200" w:before="0" w:line="276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Culminating Product(s)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rtl w:val="0"/>
              </w:rPr>
              <w:t xml:space="preserve"> Students will create portfolios and reports on the various units.</w:t>
            </w:r>
          </w:p>
          <w:p w:rsidR="00000000" w:rsidDel="00000000" w:rsidP="00000000" w:rsidRDefault="00000000" w:rsidRPr="00000000" w14:paraId="00000050">
            <w:pPr>
              <w:widowControl w:val="1"/>
              <w:spacing w:after="200" w:before="0" w:line="276" w:lineRule="auto"/>
              <w:ind w:right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199072</wp:posOffset>
                  </wp:positionH>
                  <wp:positionV relativeFrom="paragraph">
                    <wp:posOffset>19051</wp:posOffset>
                  </wp:positionV>
                  <wp:extent cx="1724978" cy="1302358"/>
                  <wp:effectExtent b="0" l="0" r="0" t="0"/>
                  <wp:wrapSquare wrapText="bothSides" distB="114300" distT="11430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978" cy="13023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acifico">
    <w:embedRegular w:fontKey="{00000000-0000-0000-0000-000000000000}" r:id="rId1" w:subsetted="0"/>
  </w:font>
  <w:font w:name="Merriweather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vans@pikecountyschools.com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9" Type="http://schemas.openxmlformats.org/officeDocument/2006/relationships/font" Target="fonts/OpenSans-boldItalic.ttf"/><Relationship Id="rId5" Type="http://schemas.openxmlformats.org/officeDocument/2006/relationships/font" Target="fonts/Merriweather-boldItalic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