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rPr>
          <w:rFonts w:ascii="Palatino" w:cs="Palatino" w:hAnsi="Palatino" w:eastAsia="Palatino"/>
          <w:sz w:val="20"/>
          <w:szCs w:val="20"/>
        </w:rPr>
      </w:pPr>
      <w:r>
        <w:rPr>
          <w:rFonts w:ascii="Palatino" w:hAnsi="Palatino"/>
          <w:sz w:val="20"/>
          <w:szCs w:val="20"/>
          <w:rtl w:val="0"/>
          <w:lang w:val="en-US"/>
        </w:rPr>
        <w:t>To Whom It May Concern:</w:t>
      </w:r>
    </w:p>
    <w:p>
      <w:pPr>
        <w:pStyle w:val="Body"/>
        <w:rPr>
          <w:rFonts w:ascii="Palatino" w:cs="Palatino" w:hAnsi="Palatino" w:eastAsia="Palatino"/>
          <w:sz w:val="20"/>
          <w:szCs w:val="20"/>
        </w:rPr>
      </w:pPr>
    </w:p>
    <w:p>
      <w:pPr>
        <w:pStyle w:val="Body"/>
        <w:rPr>
          <w:rFonts w:ascii="Palatino" w:cs="Palatino" w:hAnsi="Palatino" w:eastAsia="Palatino"/>
          <w:sz w:val="20"/>
          <w:szCs w:val="20"/>
        </w:rPr>
      </w:pPr>
      <w:r>
        <w:rPr>
          <w:rFonts w:ascii="Palatino" w:hAnsi="Palatino"/>
          <w:sz w:val="20"/>
          <w:szCs w:val="20"/>
          <w:rtl w:val="0"/>
          <w:lang w:val="en-US"/>
        </w:rPr>
        <w:t xml:space="preserve">     Taliaferro County Schools strongly encourages all of our students to attend school in a face to face setting where quality learning can take place in a safe setting. </w:t>
      </w:r>
    </w:p>
    <w:p>
      <w:pPr>
        <w:pStyle w:val="Body"/>
        <w:rPr>
          <w:rFonts w:ascii="Palatino" w:cs="Palatino" w:hAnsi="Palatino" w:eastAsia="Palatino"/>
          <w:sz w:val="20"/>
          <w:szCs w:val="20"/>
        </w:rPr>
      </w:pPr>
      <w:r>
        <w:rPr>
          <w:rFonts w:ascii="Palatino" w:hAnsi="Palatino"/>
          <w:sz w:val="20"/>
          <w:szCs w:val="20"/>
          <w:rtl w:val="0"/>
          <w:lang w:val="en-US"/>
        </w:rPr>
        <w:t>However, If a student wishes to participate in a virtual learning environment at home, due to an illness or health concern, or an event that may require this setting on a temporary basis, they must have met at least one of the following conditions:.</w:t>
      </w:r>
    </w:p>
    <w:p>
      <w:pPr>
        <w:pStyle w:val="Body"/>
        <w:rPr>
          <w:rFonts w:ascii="Palatino" w:cs="Palatino" w:hAnsi="Palatino" w:eastAsia="Palatino"/>
          <w:sz w:val="20"/>
          <w:szCs w:val="20"/>
        </w:rPr>
      </w:pPr>
    </w:p>
    <w:p>
      <w:pPr>
        <w:pStyle w:val="Body"/>
        <w:numPr>
          <w:ilvl w:val="0"/>
          <w:numId w:val="2"/>
        </w:numPr>
        <w:rPr>
          <w:rFonts w:ascii="Palatino" w:hAnsi="Palatino"/>
          <w:sz w:val="20"/>
          <w:szCs w:val="20"/>
          <w:lang w:val="en-US"/>
        </w:rPr>
      </w:pPr>
      <w:r>
        <w:rPr>
          <w:rFonts w:ascii="Palatino" w:hAnsi="Palatino"/>
          <w:sz w:val="20"/>
          <w:szCs w:val="20"/>
          <w:rtl w:val="0"/>
          <w:lang w:val="en-US"/>
        </w:rPr>
        <w:t>The student must have a situation in which his or her health and the worsening of that condition may be directly influenced by attending school;</w:t>
      </w:r>
    </w:p>
    <w:p>
      <w:pPr>
        <w:pStyle w:val="Body"/>
        <w:numPr>
          <w:ilvl w:val="0"/>
          <w:numId w:val="2"/>
        </w:numPr>
        <w:rPr>
          <w:rFonts w:ascii="Palatino" w:hAnsi="Palatino"/>
          <w:sz w:val="20"/>
          <w:szCs w:val="20"/>
          <w:lang w:val="en-US"/>
        </w:rPr>
      </w:pPr>
      <w:r>
        <w:rPr>
          <w:rFonts w:ascii="Palatino" w:hAnsi="Palatino"/>
          <w:sz w:val="20"/>
          <w:szCs w:val="20"/>
          <w:rtl w:val="0"/>
          <w:lang w:val="en-US"/>
        </w:rPr>
        <w:t>The parent or guardian cannot be exposed to any illnesses which may be transported from school to home which may indeed worsen the current medical condition of the adult parent(s) or person(s) directly responsible for the child</w:t>
      </w:r>
      <w:r>
        <w:rPr>
          <w:rFonts w:ascii="Palatino" w:hAnsi="Palatino" w:hint="default"/>
          <w:sz w:val="20"/>
          <w:szCs w:val="20"/>
          <w:rtl w:val="0"/>
          <w:lang w:val="en-US"/>
        </w:rPr>
        <w:t>’</w:t>
      </w:r>
      <w:r>
        <w:rPr>
          <w:rFonts w:ascii="Palatino" w:hAnsi="Palatino"/>
          <w:sz w:val="20"/>
          <w:szCs w:val="20"/>
          <w:rtl w:val="0"/>
          <w:lang w:val="en-US"/>
        </w:rPr>
        <w:t>s care who lives in that same home;</w:t>
      </w:r>
    </w:p>
    <w:p>
      <w:pPr>
        <w:pStyle w:val="Body"/>
        <w:numPr>
          <w:ilvl w:val="0"/>
          <w:numId w:val="2"/>
        </w:numPr>
        <w:rPr>
          <w:rFonts w:ascii="Palatino" w:hAnsi="Palatino"/>
          <w:sz w:val="20"/>
          <w:szCs w:val="20"/>
          <w:lang w:val="en-US"/>
        </w:rPr>
      </w:pPr>
      <w:r>
        <w:rPr>
          <w:rFonts w:ascii="Palatino" w:hAnsi="Palatino"/>
          <w:sz w:val="20"/>
          <w:szCs w:val="20"/>
          <w:rtl w:val="0"/>
          <w:lang w:val="en-US"/>
        </w:rPr>
        <w:t>The student has a parent(s) or sibling(s) in which under a normal situation, would require a student to remain at home to provide needed care for that individual due to incapacitation or immobility;</w:t>
      </w:r>
    </w:p>
    <w:p>
      <w:pPr>
        <w:pStyle w:val="Body"/>
        <w:numPr>
          <w:ilvl w:val="0"/>
          <w:numId w:val="2"/>
        </w:numPr>
        <w:rPr>
          <w:rFonts w:ascii="Palatino" w:hAnsi="Palatino"/>
          <w:sz w:val="20"/>
          <w:szCs w:val="20"/>
          <w:lang w:val="en-US"/>
        </w:rPr>
      </w:pPr>
      <w:r>
        <w:rPr>
          <w:rFonts w:ascii="Palatino" w:hAnsi="Palatino"/>
          <w:sz w:val="20"/>
          <w:szCs w:val="20"/>
          <w:rtl w:val="0"/>
          <w:lang w:val="en-US"/>
        </w:rPr>
        <w:t>The students themselves may or have been exposed to COVID and are required to be quarantined for a period of more than three (3) days;</w:t>
      </w:r>
    </w:p>
    <w:p>
      <w:pPr>
        <w:pStyle w:val="Body"/>
        <w:numPr>
          <w:ilvl w:val="0"/>
          <w:numId w:val="2"/>
        </w:numPr>
        <w:rPr>
          <w:rFonts w:ascii="Palatino" w:hAnsi="Palatino"/>
          <w:sz w:val="20"/>
          <w:szCs w:val="20"/>
          <w:lang w:val="en-US"/>
        </w:rPr>
      </w:pPr>
      <w:r>
        <w:rPr>
          <w:rFonts w:ascii="Palatino" w:hAnsi="Palatino"/>
          <w:sz w:val="20"/>
          <w:szCs w:val="20"/>
          <w:rtl w:val="0"/>
          <w:lang w:val="en-US"/>
        </w:rPr>
        <w:t>Any other extenuating circumstances in which the student, those in the home, or the people at school may have been exposed to certain conditions that put the health, safety and well being of those associated with that event at risk.</w:t>
      </w:r>
    </w:p>
    <w:p>
      <w:pPr>
        <w:pStyle w:val="Body"/>
        <w:rPr>
          <w:rFonts w:ascii="Palatino" w:cs="Palatino" w:hAnsi="Palatino" w:eastAsia="Palatino"/>
          <w:sz w:val="20"/>
          <w:szCs w:val="20"/>
        </w:rPr>
      </w:pPr>
    </w:p>
    <w:p>
      <w:pPr>
        <w:pStyle w:val="Body"/>
        <w:rPr>
          <w:rFonts w:ascii="Palatino" w:cs="Palatino" w:hAnsi="Palatino" w:eastAsia="Palatino"/>
          <w:sz w:val="20"/>
          <w:szCs w:val="20"/>
        </w:rPr>
      </w:pPr>
    </w:p>
    <w:p>
      <w:pPr>
        <w:pStyle w:val="Body"/>
        <w:rPr>
          <w:rFonts w:ascii="Palatino" w:cs="Palatino" w:hAnsi="Palatino" w:eastAsia="Palatino"/>
          <w:sz w:val="20"/>
          <w:szCs w:val="20"/>
        </w:rPr>
      </w:pPr>
      <w:r>
        <w:rPr>
          <w:rFonts w:ascii="Palatino" w:hAnsi="Palatino"/>
          <w:sz w:val="20"/>
          <w:szCs w:val="20"/>
          <w:rtl w:val="0"/>
          <w:lang w:val="en-US"/>
        </w:rPr>
        <w:t>To show cause for permission to be placed in a virtual school setting, the parent or legal guardian must provide the Principal with a legal document from a licensed medical Doctor that states the valid reason for being out of school, the condition of the applicant in which to perform the school work and a timeline for return to the school building setting. The Principal will then present the approved form to the Superintendent for approval or denial and inform the parents within two school days.</w:t>
      </w:r>
    </w:p>
    <w:p>
      <w:pPr>
        <w:pStyle w:val="Body"/>
        <w:rPr>
          <w:rFonts w:ascii="Palatino" w:cs="Palatino" w:hAnsi="Palatino" w:eastAsia="Palatino"/>
          <w:sz w:val="20"/>
          <w:szCs w:val="20"/>
        </w:rPr>
      </w:pPr>
    </w:p>
    <w:p>
      <w:pPr>
        <w:pStyle w:val="Body"/>
        <w:rPr>
          <w:rFonts w:ascii="Palatino" w:cs="Palatino" w:hAnsi="Palatino" w:eastAsia="Palatino"/>
          <w:sz w:val="20"/>
          <w:szCs w:val="20"/>
        </w:rPr>
      </w:pPr>
    </w:p>
    <w:p>
      <w:pPr>
        <w:pStyle w:val="Body"/>
        <w:rPr>
          <w:rFonts w:ascii="Palatino" w:cs="Palatino" w:hAnsi="Palatino" w:eastAsia="Palatino"/>
          <w:sz w:val="20"/>
          <w:szCs w:val="20"/>
        </w:rPr>
      </w:pPr>
    </w:p>
    <w:p>
      <w:pPr>
        <w:pStyle w:val="Body"/>
        <w:rPr>
          <w:rFonts w:ascii="Palatino" w:cs="Palatino" w:hAnsi="Palatino" w:eastAsia="Palatino"/>
          <w:sz w:val="20"/>
          <w:szCs w:val="20"/>
        </w:rPr>
      </w:pPr>
    </w:p>
    <w:p>
      <w:pPr>
        <w:pStyle w:val="Body"/>
        <w:rPr>
          <w:rFonts w:ascii="Palatino" w:cs="Palatino" w:hAnsi="Palatino" w:eastAsia="Palatino"/>
          <w:sz w:val="20"/>
          <w:szCs w:val="20"/>
        </w:rPr>
      </w:pPr>
      <w:r>
        <w:rPr>
          <w:rFonts w:ascii="Palatino" w:hAnsi="Palatino"/>
          <w:sz w:val="20"/>
          <w:szCs w:val="20"/>
          <w:rtl w:val="0"/>
          <w:lang w:val="en-US"/>
        </w:rPr>
        <w:t>Allen B. Fort</w:t>
      </w:r>
    </w:p>
    <w:p>
      <w:pPr>
        <w:pStyle w:val="Body"/>
        <w:rPr>
          <w:rFonts w:ascii="Palatino" w:cs="Palatino" w:hAnsi="Palatino" w:eastAsia="Palatino"/>
          <w:sz w:val="20"/>
          <w:szCs w:val="20"/>
        </w:rPr>
      </w:pPr>
      <w:r>
        <w:rPr>
          <w:rFonts w:ascii="Palatino" w:hAnsi="Palatino"/>
          <w:sz w:val="20"/>
          <w:szCs w:val="20"/>
          <w:rtl w:val="0"/>
          <w:lang w:val="en-US"/>
        </w:rPr>
        <w:t>Superintendent</w:t>
      </w:r>
    </w:p>
    <w:p>
      <w:pPr>
        <w:pStyle w:val="Body"/>
      </w:pPr>
      <w:r>
        <w:rPr>
          <w:rFonts w:ascii="Palatino" w:hAnsi="Palatino"/>
          <w:sz w:val="20"/>
          <w:szCs w:val="20"/>
          <w:rtl w:val="0"/>
          <w:lang w:val="en-US"/>
        </w:rPr>
        <w:t>Taliaferro County Schools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alatino Linotype">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r>
    <w:r>
      <w:rPr>
        <w:rFonts w:ascii="Palatino Linotype" w:cs="Palatino Linotype" w:hAnsi="Palatino Linotype" w:eastAsia="Palatino Linotype"/>
        <w:sz w:val="28"/>
        <w:szCs w:val="28"/>
        <w:u w:color="000000"/>
        <w:rtl w:val="0"/>
        <w:lang w:val="en-US"/>
      </w:rPr>
      <w:t>Taliaferro County K-12</w:t>
    </w:r>
  </w:p>
  <w:p>
    <w:pPr>
      <w:pStyle w:val="Header &amp; Footer"/>
      <w:tabs>
        <w:tab w:val="center" w:pos="4680"/>
        <w:tab w:val="right" w:pos="9360"/>
        <w:tab w:val="clear" w:pos="9020"/>
      </w:tabs>
      <w:bidi w:val="0"/>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r>
    <w:r>
      <w:rPr>
        <w:rFonts w:ascii="Palatino Linotype" w:cs="Palatino Linotype" w:hAnsi="Palatino Linotype" w:eastAsia="Palatino Linotype"/>
        <w:sz w:val="24"/>
        <w:szCs w:val="24"/>
        <w:u w:color="000000"/>
        <w:rtl w:val="0"/>
        <w:lang w:val="en-US"/>
      </w:rPr>
      <w:t>557 Broad Street</w:t>
    </w:r>
  </w:p>
  <w:p>
    <w:pPr>
      <w:pStyle w:val="Header &amp; Footer"/>
      <w:tabs>
        <w:tab w:val="center" w:pos="4680"/>
        <w:tab w:val="right" w:pos="9360"/>
        <w:tab w:val="clear" w:pos="9020"/>
      </w:tabs>
      <w:bidi w:val="0"/>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r>
    <w:r>
      <w:rPr>
        <w:rFonts w:ascii="Palatino Linotype" w:cs="Palatino Linotype" w:hAnsi="Palatino Linotype" w:eastAsia="Palatino Linotype"/>
        <w:sz w:val="24"/>
        <w:szCs w:val="24"/>
        <w:u w:color="000000"/>
        <w:rtl w:val="0"/>
        <w:lang w:val="en-US"/>
      </w:rPr>
      <w:t>Crawfordville, GA 30631</w:t>
    </w:r>
  </w:p>
  <w:p>
    <w:pPr>
      <w:pStyle w:val="Header &amp; Footer"/>
      <w:tabs>
        <w:tab w:val="center" w:pos="4680"/>
        <w:tab w:val="right" w:pos="9360"/>
        <w:tab w:val="clear" w:pos="9020"/>
      </w:tabs>
      <w:bidi w:val="0"/>
      <w:ind w:left="0" w:right="0" w:firstLine="0"/>
      <w:jc w:val="left"/>
      <w:rPr>
        <w:rFonts w:ascii="Calibri" w:cs="Calibri" w:hAnsi="Calibri" w:eastAsia="Calibri"/>
        <w:sz w:val="22"/>
        <w:szCs w:val="22"/>
        <w:u w:color="000000"/>
        <w:rtl w:val="0"/>
        <w:lang w:val="en-US"/>
      </w:rPr>
    </w:pPr>
  </w:p>
  <w:p>
    <w:pPr>
      <w:pStyle w:val="Header &amp; Footer"/>
      <w:tabs>
        <w:tab w:val="center" w:pos="4680"/>
        <w:tab w:val="right" w:pos="9360"/>
        <w:tab w:val="clear" w:pos="9020"/>
      </w:tabs>
      <w:bidi w:val="0"/>
      <w:ind w:left="0" w:right="0" w:firstLine="0"/>
      <w:jc w:val="left"/>
      <w:rPr>
        <w:rFonts w:ascii="Calibri" w:cs="Calibri" w:hAnsi="Calibri" w:eastAsia="Calibri"/>
        <w:sz w:val="22"/>
        <w:szCs w:val="22"/>
        <w:u w:color="000000"/>
        <w:rtl w:val="0"/>
        <w:lang w:val="en-US"/>
      </w:rPr>
    </w:pPr>
    <w:r>
      <w:rPr>
        <w:rFonts w:ascii="Calibri" w:cs="Calibri" w:hAnsi="Calibri" w:eastAsia="Calibri"/>
        <w:sz w:val="22"/>
        <w:szCs w:val="22"/>
        <w:u w:color="000000"/>
        <w:rtl w:val="0"/>
        <w:lang w:val="en-US"/>
      </w:rPr>
      <w:tab/>
    </w:r>
    <w:r>
      <w:rPr>
        <w:rFonts w:ascii="Calibri" w:cs="Calibri" w:hAnsi="Calibri" w:eastAsia="Calibri"/>
        <w:b w:val="1"/>
        <w:bCs w:val="1"/>
        <w:sz w:val="22"/>
        <w:szCs w:val="22"/>
        <w:u w:color="000000"/>
        <w:rtl w:val="0"/>
        <w:lang w:val="en-US"/>
      </w:rPr>
      <w:drawing>
        <wp:inline distT="0" distB="0" distL="0" distR="0">
          <wp:extent cx="1019175" cy="118095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019175" cy="1180951"/>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bidi w:val="0"/>
      <w:ind w:left="0" w:right="0" w:firstLine="0"/>
      <w:jc w:val="left"/>
      <w:rPr>
        <w:rFonts w:ascii="Calibri" w:cs="Calibri" w:hAnsi="Calibri" w:eastAsia="Calibri"/>
        <w:sz w:val="22"/>
        <w:szCs w:val="22"/>
        <w:u w:color="000000"/>
        <w:rtl w:val="0"/>
        <w:lang w:val="en-US"/>
      </w:rPr>
    </w:pPr>
  </w:p>
  <w:p>
    <w:pPr>
      <w:pStyle w:val="Header &amp; Footer"/>
      <w:tabs>
        <w:tab w:val="center" w:pos="4680"/>
        <w:tab w:val="right" w:pos="9360"/>
        <w:tab w:val="clear" w:pos="9020"/>
      </w:tabs>
      <w:bidi w:val="0"/>
      <w:ind w:left="0" w:right="0" w:firstLine="0"/>
      <w:jc w:val="left"/>
      <w:rPr>
        <w:rtl w:val="0"/>
      </w:rPr>
    </w:pPr>
    <w:r>
      <w:rPr>
        <w:rFonts w:ascii="Calibri" w:cs="Calibri" w:hAnsi="Calibri" w:eastAsia="Calibri"/>
        <w:sz w:val="22"/>
        <w:szCs w:val="22"/>
        <w:u w:color="000000"/>
        <w:rtl w:val="0"/>
        <w:lang w:val="en-US"/>
      </w:rPr>
      <w:tab/>
    </w:r>
    <w:r>
      <w:rPr>
        <w:rFonts w:ascii="Palatino Linotype" w:cs="Palatino Linotype" w:hAnsi="Palatino Linotype" w:eastAsia="Palatino Linotype"/>
        <w:sz w:val="24"/>
        <w:szCs w:val="24"/>
        <w:u w:color="000000"/>
        <w:rtl w:val="0"/>
        <w:lang w:val="en-US"/>
      </w:rPr>
      <w:t>Allen B. Fort, Superintendent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