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86" w:rsidRDefault="00746C86" w:rsidP="006A63CC">
      <w:pPr>
        <w:tabs>
          <w:tab w:val="left" w:pos="-1440"/>
          <w:tab w:val="left" w:pos="-720"/>
          <w:tab w:val="left" w:pos="0"/>
          <w:tab w:val="left" w:pos="498"/>
          <w:tab w:val="left" w:pos="1068"/>
        </w:tabs>
        <w:rPr>
          <w:b/>
        </w:rPr>
      </w:pPr>
      <w:r>
        <w:rPr>
          <w:b/>
          <w:color w:val="FF0000"/>
        </w:rPr>
        <w:tab/>
      </w:r>
      <w:r>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6A63CC">
        <w:rPr>
          <w:b/>
          <w:color w:val="FF0000"/>
        </w:rPr>
        <w:tab/>
      </w:r>
      <w:r w:rsidR="00C93C86">
        <w:rPr>
          <w:b/>
        </w:rPr>
        <w:t>GCRC</w:t>
      </w:r>
    </w:p>
    <w:p w:rsidR="00C93C86" w:rsidRDefault="00C93C86">
      <w:pPr>
        <w:tabs>
          <w:tab w:val="left" w:pos="-1440"/>
          <w:tab w:val="left" w:pos="-720"/>
          <w:tab w:val="left" w:pos="0"/>
          <w:tab w:val="left" w:pos="498"/>
          <w:tab w:val="left" w:pos="1068"/>
        </w:tabs>
        <w:jc w:val="center"/>
        <w:rPr>
          <w:b/>
        </w:rPr>
      </w:pPr>
    </w:p>
    <w:p w:rsidR="00C93C86" w:rsidRDefault="00C93C86">
      <w:pPr>
        <w:tabs>
          <w:tab w:val="left" w:pos="-1440"/>
          <w:tab w:val="left" w:pos="-720"/>
          <w:tab w:val="left" w:pos="0"/>
          <w:tab w:val="left" w:pos="498"/>
          <w:tab w:val="left" w:pos="1068"/>
        </w:tabs>
        <w:jc w:val="center"/>
        <w:rPr>
          <w:b/>
        </w:rPr>
      </w:pPr>
    </w:p>
    <w:p w:rsidR="00C93C86" w:rsidRDefault="00C93C86">
      <w:pPr>
        <w:pStyle w:val="Heading1"/>
      </w:pPr>
      <w:r>
        <w:t>CONSULTING</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pPr>
      <w:r>
        <w:t xml:space="preserve">     The School Board is pleased to have members of its staff serve as consultants or workers for outside individuals and organizations, provided that their responsibilities to district paid positions in the school system are adequately met.  Each staff member is expected to restrict his/her outside work to his/her non</w:t>
      </w:r>
      <w:r>
        <w:noBreakHyphen/>
        <w:t>district paid hours.</w:t>
      </w:r>
    </w:p>
    <w:p w:rsidR="00C93C86" w:rsidRDefault="00C93C86">
      <w:pPr>
        <w:tabs>
          <w:tab w:val="left" w:pos="-1440"/>
          <w:tab w:val="left" w:pos="-720"/>
          <w:tab w:val="left" w:pos="0"/>
          <w:tab w:val="left" w:pos="498"/>
          <w:tab w:val="left" w:pos="1068"/>
        </w:tabs>
      </w:pPr>
      <w:r>
        <w:t xml:space="preserve"> </w:t>
      </w:r>
    </w:p>
    <w:p w:rsidR="00C93C86" w:rsidRDefault="00C93C86">
      <w:pPr>
        <w:tabs>
          <w:tab w:val="left" w:pos="-1440"/>
          <w:tab w:val="left" w:pos="-720"/>
          <w:tab w:val="left" w:pos="0"/>
          <w:tab w:val="left" w:pos="498"/>
          <w:tab w:val="left" w:pos="1068"/>
        </w:tabs>
      </w:pPr>
      <w:r>
        <w:t xml:space="preserve">     A supervisor who observes that an employee's outside work activities are adversely affecting his/her job performance should advise the employee to resolve the situation.  If it cannot be resolved to mutual satisfaction, then the supervisor shall make a report to the Superintendent. </w:t>
      </w:r>
    </w:p>
    <w:p w:rsidR="00C93C86" w:rsidRDefault="00C93C86">
      <w:pPr>
        <w:tabs>
          <w:tab w:val="left" w:pos="-1440"/>
          <w:tab w:val="left" w:pos="-720"/>
          <w:tab w:val="left" w:pos="0"/>
          <w:tab w:val="left" w:pos="498"/>
          <w:tab w:val="left" w:pos="1068"/>
        </w:tabs>
      </w:pPr>
      <w:r>
        <w:t xml:space="preserve"> </w:t>
      </w:r>
    </w:p>
    <w:p w:rsidR="00C93C86" w:rsidRDefault="00C93C86">
      <w:pPr>
        <w:tabs>
          <w:tab w:val="left" w:pos="-1440"/>
          <w:tab w:val="left" w:pos="-720"/>
          <w:tab w:val="left" w:pos="0"/>
          <w:tab w:val="left" w:pos="498"/>
          <w:tab w:val="left" w:pos="1068"/>
        </w:tabs>
      </w:pPr>
      <w:r>
        <w:t xml:space="preserve">     The Superintendent shall oversee the carrying out of the policy, advise the School Board of any policy abuse, request any policy exceptions, and notify the Board of any need for policy change. </w:t>
      </w:r>
    </w:p>
    <w:p w:rsidR="00C93C86" w:rsidRDefault="00C93C86">
      <w:pPr>
        <w:tabs>
          <w:tab w:val="left" w:pos="-1440"/>
          <w:tab w:val="left" w:pos="-720"/>
          <w:tab w:val="left" w:pos="0"/>
          <w:tab w:val="left" w:pos="498"/>
          <w:tab w:val="left" w:pos="1068"/>
        </w:tabs>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r>
        <w:t xml:space="preserve"> </w:t>
      </w: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p>
    <w:p w:rsidR="00C93C86" w:rsidRDefault="00C93C86">
      <w:pPr>
        <w:tabs>
          <w:tab w:val="left" w:pos="-1440"/>
          <w:tab w:val="left" w:pos="-720"/>
          <w:tab w:val="left" w:pos="0"/>
          <w:tab w:val="left" w:pos="498"/>
          <w:tab w:val="left" w:pos="1068"/>
        </w:tabs>
        <w:jc w:val="both"/>
      </w:pPr>
      <w:r>
        <w:t xml:space="preserve">Adopted: </w:t>
      </w:r>
      <w:r>
        <w:tab/>
      </w:r>
      <w:r>
        <w:tab/>
      </w:r>
      <w:r w:rsidR="006A63CC">
        <w:tab/>
      </w:r>
      <w:r>
        <w:t xml:space="preserve">July 9, 1991 </w:t>
      </w:r>
    </w:p>
    <w:p w:rsidR="006A63CC" w:rsidRDefault="00C93C86">
      <w:pPr>
        <w:tabs>
          <w:tab w:val="left" w:pos="-1440"/>
          <w:tab w:val="left" w:pos="-720"/>
          <w:tab w:val="left" w:pos="0"/>
          <w:tab w:val="left" w:pos="498"/>
          <w:tab w:val="left" w:pos="1068"/>
        </w:tabs>
        <w:jc w:val="both"/>
      </w:pPr>
      <w:r>
        <w:t>Reviewed:</w:t>
      </w:r>
      <w:r>
        <w:tab/>
      </w:r>
      <w:r>
        <w:tab/>
      </w:r>
      <w:r w:rsidR="006A63CC">
        <w:tab/>
      </w:r>
      <w:r>
        <w:t xml:space="preserve">February 19, 2002   </w:t>
      </w:r>
    </w:p>
    <w:p w:rsidR="009708B6" w:rsidRPr="00746C86" w:rsidRDefault="006A63CC">
      <w:pPr>
        <w:tabs>
          <w:tab w:val="left" w:pos="-1440"/>
          <w:tab w:val="left" w:pos="-720"/>
          <w:tab w:val="left" w:pos="0"/>
          <w:tab w:val="left" w:pos="498"/>
          <w:tab w:val="left" w:pos="1068"/>
        </w:tabs>
        <w:jc w:val="both"/>
      </w:pPr>
      <w:r w:rsidRPr="00746C86">
        <w:t>First Reading:</w:t>
      </w:r>
      <w:r w:rsidRPr="00746C86">
        <w:tab/>
      </w:r>
      <w:r w:rsidR="00746C86">
        <w:tab/>
      </w:r>
      <w:r w:rsidRPr="00746C86">
        <w:t>January 24, 2018</w:t>
      </w:r>
      <w:r w:rsidR="00C93C86" w:rsidRPr="00746C86">
        <w:t xml:space="preserve">  </w:t>
      </w:r>
    </w:p>
    <w:p w:rsidR="00746C86" w:rsidRDefault="009708B6">
      <w:pPr>
        <w:tabs>
          <w:tab w:val="left" w:pos="-1440"/>
          <w:tab w:val="left" w:pos="-720"/>
          <w:tab w:val="left" w:pos="0"/>
          <w:tab w:val="left" w:pos="498"/>
          <w:tab w:val="left" w:pos="1068"/>
        </w:tabs>
        <w:jc w:val="both"/>
      </w:pPr>
      <w:r w:rsidRPr="00746C86">
        <w:t>Second Reading:</w:t>
      </w:r>
      <w:r w:rsidRPr="00746C86">
        <w:tab/>
        <w:t>February 14, 2018</w:t>
      </w:r>
    </w:p>
    <w:p w:rsidR="00C93C86" w:rsidRPr="00746C86" w:rsidRDefault="00746C86">
      <w:pPr>
        <w:tabs>
          <w:tab w:val="left" w:pos="-1440"/>
          <w:tab w:val="left" w:pos="-720"/>
          <w:tab w:val="left" w:pos="0"/>
          <w:tab w:val="left" w:pos="498"/>
          <w:tab w:val="left" w:pos="1068"/>
        </w:tabs>
        <w:jc w:val="both"/>
      </w:pPr>
      <w:r>
        <w:t>Reviewed:</w:t>
      </w:r>
      <w:r>
        <w:tab/>
      </w:r>
      <w:r>
        <w:tab/>
      </w:r>
      <w:r>
        <w:tab/>
        <w:t>February 14, 2018</w:t>
      </w:r>
      <w:r w:rsidR="00C93C86" w:rsidRPr="00746C86">
        <w:t xml:space="preserve">   </w:t>
      </w:r>
    </w:p>
    <w:sectPr w:rsidR="00C93C86" w:rsidRPr="00746C86">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3CC"/>
    <w:rsid w:val="006A63CC"/>
    <w:rsid w:val="00746C86"/>
    <w:rsid w:val="009708B6"/>
    <w:rsid w:val="00C93C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498"/>
        <w:tab w:val="left" w:pos="1068"/>
      </w:tabs>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CONSULTING </vt:lpstr>
    </vt:vector>
  </TitlesOfParts>
  <Company>SAU 68</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dc:title>
  <dc:creator>Lin-Wood</dc:creator>
  <cp:lastModifiedBy>Frances Bean</cp:lastModifiedBy>
  <cp:revision>2</cp:revision>
  <cp:lastPrinted>2002-02-20T15:31:00Z</cp:lastPrinted>
  <dcterms:created xsi:type="dcterms:W3CDTF">2018-02-20T16:01:00Z</dcterms:created>
  <dcterms:modified xsi:type="dcterms:W3CDTF">2018-02-20T16:01:00Z</dcterms:modified>
</cp:coreProperties>
</file>