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900"/>
          <w:tab w:val="left" w:pos="1080"/>
        </w:tabs>
        <w:spacing w:after="0"/>
        <w:jc w:val="right"/>
        <w:rPr>
          <w:b w:val="1"/>
          <w:bCs w:val="1"/>
        </w:rPr>
      </w:pPr>
      <w:r>
        <w:rPr>
          <w:b w:val="1"/>
          <w:bCs w:val="1"/>
          <w:rtl w:val="0"/>
          <w:lang w:val="en-US"/>
        </w:rPr>
        <w:t>3.31</w:t>
      </w:r>
    </w:p>
    <w:p>
      <w:pPr>
        <w:pStyle w:val="Body Text"/>
        <w:tabs>
          <w:tab w:val="left" w:pos="900"/>
          <w:tab w:val="left" w:pos="1080"/>
        </w:tabs>
        <w:spacing w:after="0"/>
        <w:jc w:val="center"/>
        <w:rPr>
          <w:b w:val="1"/>
          <w:bCs w:val="1"/>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PREVENTION OF HARASSMENT</w:t>
      </w:r>
      <w:r>
        <w:rPr>
          <w:outline w:val="0"/>
          <w:color w:val="000000"/>
          <w:u w:color="000000"/>
          <w:rtl w:val="0"/>
          <w:lang w:val="en-US"/>
          <w14:textFill>
            <w14:solidFill>
              <w14:srgbClr w14:val="000000"/>
            </w14:solidFill>
          </w14:textFill>
        </w:rPr>
        <w:t xml:space="preserve">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The Coffee County Board of Education prohibits harassment against any employee, applicant for employment, student, or student applicant based upon race, color, religion, gender, age, ethnicity, national origin, marital status, disability, political or religious beliefs, or social and family background. This policy also applies to non-employment volunteers who work subject to the control of school authorities.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p>
    <w:p>
      <w:pPr>
        <w:pStyle w:val="Norm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w:t>
      </w:r>
      <w:r>
        <w:rPr>
          <w:outline w:val="0"/>
          <w:color w:val="000000"/>
          <w:u w:color="000000"/>
          <w:rtl w:val="0"/>
          <w14:textFill>
            <w14:solidFill>
              <w14:srgbClr w14:val="000000"/>
            </w14:solidFill>
          </w14:textFill>
        </w:rPr>
        <w:tab/>
        <w:t>The Superintendent shall develop procedures which shall be used by persons alleging harassment.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p>
    <w:p>
      <w:pPr>
        <w:pStyle w:val="Normal.0"/>
        <w:tabs>
          <w:tab w:val="left" w:pos="540"/>
          <w:tab w:val="left" w:pos="1680"/>
          <w:tab w:val="left" w:pos="2240"/>
          <w:tab w:val="left" w:pos="2800"/>
          <w:tab w:val="left" w:pos="3360"/>
          <w:tab w:val="left" w:pos="3920"/>
          <w:tab w:val="left" w:pos="4480"/>
          <w:tab w:val="left" w:pos="5040"/>
          <w:tab w:val="left" w:pos="5600"/>
          <w:tab w:val="left" w:pos="6160"/>
          <w:tab w:val="left" w:pos="6720"/>
        </w:tabs>
        <w:ind w:left="450" w:hanging="45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III. </w:t>
      </w:r>
      <w:r>
        <w:rPr>
          <w:outline w:val="0"/>
          <w:color w:val="000000"/>
          <w:u w:color="000000"/>
          <w:rtl w:val="0"/>
          <w:lang w:val="en-US"/>
          <w14:textFill>
            <w14:solidFill>
              <w14:srgbClr w14:val="000000"/>
            </w14:solidFill>
          </w14:textFill>
        </w:rPr>
        <w:t xml:space="preserve">Sexual Harassment by Students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The Coffee County Board of Education desires to maintain an academic environment in which all students are treated with respect and dignity. A vital element of this atmosphere is the Board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commitment to equal opportunities and the eradication of discriminatory practices including sexual harassment. Sexual harassment is specifically prohibited by state and federal law and instances of harassment may result in both civil and criminal liability on the part of the individual harasser as well as the Coffee County Board of Education. Sexual harassment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destructive impact wastes human potential, demoralizes students, and perpetuates the tendency toward further unacceptable behavior. For these reasons, the Coffee County Board of Education forbids harassment against any student on the basis of gender. The Board will not tolerate harassment activity by any of its students.</w:t>
      </w:r>
    </w:p>
    <w:p>
      <w:pPr>
        <w:pStyle w:val="Normal.0"/>
        <w:tabs>
          <w:tab w:val="left" w:pos="450"/>
          <w:tab w:val="left" w:pos="1680"/>
          <w:tab w:val="left" w:pos="2240"/>
          <w:tab w:val="left" w:pos="2800"/>
          <w:tab w:val="left" w:pos="3360"/>
          <w:tab w:val="left" w:pos="3920"/>
          <w:tab w:val="left" w:pos="4480"/>
          <w:tab w:val="left" w:pos="5040"/>
          <w:tab w:val="left" w:pos="5600"/>
          <w:tab w:val="left" w:pos="6160"/>
          <w:tab w:val="left" w:pos="6720"/>
        </w:tabs>
        <w:ind w:left="450" w:hanging="450"/>
        <w:rPr>
          <w:outline w:val="0"/>
          <w:color w:val="000000"/>
          <w:u w:color="000000"/>
          <w14:textFill>
            <w14:solidFill>
              <w14:srgbClr w14:val="000000"/>
            </w14:solidFill>
          </w14:textFill>
        </w:rPr>
      </w:pPr>
    </w:p>
    <w:p>
      <w:pPr>
        <w:pStyle w:val="Normal.0"/>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 xml:space="preserve">Definition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academic performance, or creates an intimidating, hostile, or offensive school environment.</w:t>
      </w:r>
    </w:p>
    <w:p>
      <w:pPr>
        <w:pStyle w:val="Normal.0"/>
        <w:tabs>
          <w:tab w:val="left" w:pos="45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1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Examples of sexual harassment may include, but are not limited to, the following:</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Verbal harassment or abuse of a sexual nature;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70" w:firstLine="0"/>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Subtle pressure for sexual activity;</w:t>
      </w:r>
    </w:p>
    <w:p>
      <w:pPr>
        <w:pStyle w:val="List Paragraph"/>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Repeated remarks to a person with sexual or demeaning implications</w:t>
      </w:r>
      <w:r>
        <w:rPr>
          <w:i w:val="1"/>
          <w:iCs w:val="1"/>
          <w:outline w:val="0"/>
          <w:color w:val="000000"/>
          <w:u w:color="000000"/>
          <w:rtl w:val="0"/>
          <w:lang w:val="en-US"/>
          <w14:textFill>
            <w14:solidFill>
              <w14:srgbClr w14:val="000000"/>
            </w14:solidFill>
          </w14:textFill>
        </w:rPr>
        <w:t>, e.g</w:t>
      </w:r>
      <w:r>
        <w:rPr>
          <w:outline w:val="0"/>
          <w:color w:val="000000"/>
          <w:u w:color="000000"/>
          <w:rtl w:val="0"/>
          <w:lang w:val="en-US"/>
          <w14:textFill>
            <w14:solidFill>
              <w14:srgbClr w14:val="000000"/>
            </w14:solidFill>
          </w14:textFill>
        </w:rPr>
        <w:t>., a person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body, clothes or sexual activity;</w:t>
      </w:r>
    </w:p>
    <w:p>
      <w:pPr>
        <w:pStyle w:val="List Paragraph"/>
        <w:rPr>
          <w:outline w:val="0"/>
          <w:color w:val="000000"/>
          <w:u w:color="000000"/>
          <w14:textFill>
            <w14:solidFill>
              <w14:srgbClr w14:val="000000"/>
            </w14:solidFill>
          </w14:textFill>
        </w:rPr>
      </w:pPr>
    </w:p>
    <w:p>
      <w:pPr>
        <w:pStyle w:val="Normal.0"/>
        <w:numPr>
          <w:ilvl w:val="0"/>
          <w:numId w:val="7"/>
        </w:numPr>
        <w:bidi w:val="0"/>
        <w:ind w:right="0"/>
        <w:jc w:val="left"/>
        <w:rPr>
          <w:rtl w:val="0"/>
          <w:lang w:val="en-US"/>
        </w:rPr>
      </w:pPr>
      <w:r>
        <w:rPr>
          <w:outline w:val="0"/>
          <w:color w:val="000000"/>
          <w:u w:color="000000"/>
          <w:rtl w:val="0"/>
          <w:lang w:val="en-US"/>
          <w14:textFill>
            <w14:solidFill>
              <w14:srgbClr w14:val="000000"/>
            </w14:solidFill>
          </w14:textFill>
        </w:rPr>
        <w:t>Unwelcome or inappropriate physical contact such as patting, pinching, or unnecessary touching;</w:t>
      </w:r>
    </w:p>
    <w:p>
      <w:pPr>
        <w:pStyle w:val="List Paragraph"/>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Suggesting or demanding sexual involvement accompanied by implied or explicit threats;</w:t>
      </w:r>
    </w:p>
    <w:p>
      <w:pPr>
        <w:pStyle w:val="List Paragraph"/>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Display of sexually suggestive objects, pictures, or written materials;</w:t>
      </w:r>
    </w:p>
    <w:p>
      <w:pPr>
        <w:pStyle w:val="List Paragraph"/>
        <w:rPr>
          <w:outline w:val="0"/>
          <w:color w:val="000000"/>
          <w:u w:color="000000"/>
          <w14:textFill>
            <w14:solidFill>
              <w14:srgbClr w14:val="000000"/>
            </w14:solidFill>
          </w14:textFill>
        </w:rPr>
      </w:pPr>
    </w:p>
    <w:p>
      <w:pPr>
        <w:pStyle w:val="Norm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17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7.</w:t>
        <w:tab/>
        <w:t>Sexual harassment does not refer to occasional compliments or welcomed interactions of a socially acceptable nature.</w:t>
      </w:r>
    </w:p>
    <w:p>
      <w:pPr>
        <w:pStyle w:val="Normal.0"/>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Specific Prohibition - It is sexual harassment for a student to subject another student or a school employee to any unwelcome conduct of a sexual nature on school property or at a school-sponsored event. Students who engage in such conduct shall be subject to penalties as described herein.</w:t>
      </w: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Procedures - Any student who alleges sexual harassment by an employee or another student should report the harassment to the building principal, assistant principal(s), guidance counselors or school system Title IX coordinator. Filing of a complaint or otherwise reporting sexual harassment will not affect the student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status, extracurricular activities, grade or any other assignments. The complaint should be in writing, state the act or acts, state the date(s), state the names of witnesses, and be signed by the complainant.</w:t>
      </w:r>
    </w:p>
    <w:p>
      <w:pPr>
        <w:pStyle w:val="List Paragraph"/>
        <w:rPr>
          <w:outline w:val="0"/>
          <w:color w:val="000000"/>
          <w:u w:color="000000"/>
          <w14:textFill>
            <w14:solidFill>
              <w14:srgbClr w14:val="000000"/>
            </w14:solidFill>
          </w14:textFill>
        </w:rPr>
      </w:pPr>
    </w:p>
    <w:p>
      <w:pPr>
        <w:pStyle w:val="Normal.0"/>
        <w:numPr>
          <w:ilvl w:val="0"/>
          <w:numId w:val="10"/>
        </w:numPr>
        <w:bidi w:val="0"/>
        <w:ind w:right="0"/>
        <w:jc w:val="left"/>
        <w:rPr>
          <w:rtl w:val="0"/>
          <w:lang w:val="en-US"/>
        </w:rPr>
      </w:pPr>
      <w:r>
        <w:rPr>
          <w:outline w:val="0"/>
          <w:color w:val="000000"/>
          <w:u w:color="000000"/>
          <w:rtl w:val="0"/>
          <w:lang w:val="en-US"/>
          <w14:textFill>
            <w14:solidFill>
              <w14:srgbClr w14:val="000000"/>
            </w14:solidFill>
          </w14:textFill>
        </w:rPr>
        <w:t>The right to confidentiality, both of the complainant and of the accused, will be respected, consistent with the Board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legal obligations and with the necessity to investigate allegations of misconduct and take corrective action when this conduct has occurred.</w:t>
      </w:r>
    </w:p>
    <w:p>
      <w:pPr>
        <w:pStyle w:val="Norm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ind w:left="1170" w:firstLine="0"/>
        <w:rPr>
          <w:outline w:val="0"/>
          <w:color w:val="000000"/>
          <w:u w:color="000000"/>
          <w14:textFill>
            <w14:solidFill>
              <w14:srgbClr w14:val="000000"/>
            </w14:solidFill>
          </w14:textFill>
        </w:rPr>
      </w:pPr>
    </w:p>
    <w:p>
      <w:pPr>
        <w:pStyle w:val="Normal.0"/>
        <w:numPr>
          <w:ilvl w:val="0"/>
          <w:numId w:val="10"/>
        </w:numPr>
        <w:bidi w:val="0"/>
        <w:ind w:right="0"/>
        <w:jc w:val="left"/>
        <w:rPr>
          <w:rtl w:val="0"/>
          <w:lang w:val="en-US"/>
        </w:rPr>
      </w:pPr>
      <w:r>
        <w:rPr>
          <w:outline w:val="0"/>
          <w:color w:val="000000"/>
          <w:u w:color="000000"/>
          <w:rtl w:val="0"/>
          <w:lang w:val="en-US"/>
          <w14:textFill>
            <w14:solidFill>
              <w14:srgbClr w14:val="000000"/>
            </w14:solidFill>
          </w14:textFil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pPr>
        <w:pStyle w:val="List Paragraph"/>
        <w:rPr>
          <w:outline w:val="0"/>
          <w:color w:val="000000"/>
          <w:u w:color="000000"/>
          <w14:textFill>
            <w14:solidFill>
              <w14:srgbClr w14:val="000000"/>
            </w14:solidFill>
          </w14:textFill>
        </w:rPr>
      </w:pP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w:t>
        <w:tab/>
        <w:t>Penalties - A substantiated charge against a student shall subject that student to disciplinary action consistent with the Code of Student Conduct.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45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IV.</w:t>
      </w:r>
      <w:r>
        <w:rPr>
          <w:outline w:val="0"/>
          <w:color w:val="000000"/>
          <w:u w:color="000000"/>
          <w:rtl w:val="0"/>
          <w14:textFill>
            <w14:solidFill>
              <w14:srgbClr w14:val="000000"/>
            </w14:solidFill>
          </w14:textFill>
        </w:rPr>
        <w:tab/>
        <w:t xml:space="preserve">Sexual Harassment by Employees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Definition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Sexual harassment is defined as unwelcome sexual advances, requests for sexual favors and other inappropriate verbal, non-verbal or physical conduct of a sexual nature when:</w:t>
      </w:r>
    </w:p>
    <w:p>
      <w:pPr>
        <w:pStyle w:val="Norm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450"/>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Submission to such conduct is made either explicitly or implicitly a term or condition of an individual</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employment or a student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education;</w:t>
      </w: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Submission to or rejection of such conduct by an individual is used as the basis for employment or academic decisions affecting such individual;</w:t>
      </w:r>
    </w:p>
    <w:p>
      <w:pPr>
        <w:pStyle w:val="List Paragraph"/>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Such conduct has the purpose or effect of unreasonably interfering with an individual</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work performance or student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educational performance, or creating an intimidating, hostile or offensive work or school environment.</w:t>
      </w:r>
    </w:p>
    <w:p>
      <w:pPr>
        <w:pStyle w:val="List Paragraph"/>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Examples of sexual harassment may include, but are not limited to, the following:</w:t>
      </w:r>
    </w:p>
    <w:p>
      <w:pPr>
        <w:pStyle w:val="List Paragraph"/>
        <w:rPr>
          <w:outline w:val="0"/>
          <w:color w:val="000000"/>
          <w:u w:color="000000"/>
          <w14:textFill>
            <w14:solidFill>
              <w14:srgbClr w14:val="000000"/>
            </w14:solidFill>
          </w14:textFill>
        </w:rPr>
      </w:pP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w:t>
        <w:tab/>
        <w:t>Verbal harassment or abuse of a sexual nature;</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2.</w:t>
        <w:tab/>
        <w:t>Subtle pressure for sexual activity;</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numPr>
          <w:ilvl w:val="0"/>
          <w:numId w:val="13"/>
        </w:numPr>
        <w:bidi w:val="0"/>
        <w:ind w:right="0"/>
        <w:jc w:val="left"/>
        <w:rPr>
          <w:rtl w:val="0"/>
          <w:lang w:val="en-US"/>
        </w:rPr>
      </w:pPr>
      <w:r>
        <w:rPr>
          <w:outline w:val="0"/>
          <w:color w:val="000000"/>
          <w:u w:color="000000"/>
          <w:rtl w:val="0"/>
          <w:lang w:val="en-US"/>
          <w14:textFill>
            <w14:solidFill>
              <w14:srgbClr w14:val="000000"/>
            </w14:solidFill>
          </w14:textFill>
        </w:rPr>
        <w:t xml:space="preserve">Repeated remarks to a person with sexual or demeaning implications, </w:t>
      </w:r>
      <w:r>
        <w:rPr>
          <w:i w:val="1"/>
          <w:iCs w:val="1"/>
          <w:outline w:val="0"/>
          <w:color w:val="000000"/>
          <w:u w:color="000000"/>
          <w:rtl w:val="0"/>
          <w:lang w:val="en-US"/>
          <w14:textFill>
            <w14:solidFill>
              <w14:srgbClr w14:val="000000"/>
            </w14:solidFill>
          </w14:textFill>
        </w:rPr>
        <w:t>e.g</w:t>
      </w:r>
      <w:r>
        <w:rPr>
          <w:outline w:val="0"/>
          <w:color w:val="000000"/>
          <w:u w:color="000000"/>
          <w:rtl w:val="0"/>
          <w:lang w:val="en-US"/>
          <w14:textFill>
            <w14:solidFill>
              <w14:srgbClr w14:val="000000"/>
            </w14:solidFill>
          </w14:textFill>
        </w:rPr>
        <w:t>., a person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body, clothes or sexual activity;</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1170" w:firstLine="0"/>
        <w:rPr>
          <w:outline w:val="0"/>
          <w:color w:val="000000"/>
          <w:u w:color="000000"/>
          <w14:textFill>
            <w14:solidFill>
              <w14:srgbClr w14:val="000000"/>
            </w14:solidFill>
          </w14:textFill>
        </w:rPr>
      </w:pPr>
    </w:p>
    <w:p>
      <w:pPr>
        <w:pStyle w:val="Normal.0"/>
        <w:tabs>
          <w:tab w:val="left" w:pos="1170"/>
          <w:tab w:val="left" w:pos="2240"/>
          <w:tab w:val="left" w:pos="2800"/>
          <w:tab w:val="left" w:pos="3360"/>
          <w:tab w:val="left" w:pos="3920"/>
          <w:tab w:val="left" w:pos="4480"/>
          <w:tab w:val="left" w:pos="5040"/>
          <w:tab w:val="left" w:pos="5600"/>
          <w:tab w:val="left" w:pos="6160"/>
          <w:tab w:val="left" w:pos="6720"/>
        </w:tabs>
        <w:ind w:left="117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4.</w:t>
        <w:tab/>
        <w:t>Unwelcome or inappropriate physical contact such as patting, pinching, or unnecessary touching;</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5.</w:t>
        <w:tab/>
        <w:t>Suggesting or demanding sexual involvement accompanied by implied or explicit threats;</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numPr>
          <w:ilvl w:val="0"/>
          <w:numId w:val="16"/>
        </w:numPr>
        <w:bidi w:val="0"/>
        <w:ind w:right="0"/>
        <w:jc w:val="left"/>
        <w:rPr>
          <w:rtl w:val="0"/>
          <w:lang w:val="en-US"/>
        </w:rPr>
      </w:pPr>
      <w:r>
        <w:rPr>
          <w:outline w:val="0"/>
          <w:color w:val="000000"/>
          <w:u w:color="000000"/>
          <w:rtl w:val="0"/>
          <w:lang w:val="en-US"/>
          <w14:textFill>
            <w14:solidFill>
              <w14:srgbClr w14:val="000000"/>
            </w14:solidFill>
          </w14:textFill>
        </w:rPr>
        <w:t>Display of sexually suggestive objects, pictures, or written materials.</w:t>
      </w:r>
    </w:p>
    <w:p>
      <w:pPr>
        <w:pStyle w:val="Norm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1170" w:firstLine="0"/>
        <w:rPr>
          <w:outline w:val="0"/>
          <w:color w:val="000000"/>
          <w:u w:color="000000"/>
          <w14:textFill>
            <w14:solidFill>
              <w14:srgbClr w14:val="000000"/>
            </w14:solidFill>
          </w14:textFill>
        </w:rPr>
      </w:pPr>
    </w:p>
    <w:p>
      <w:pPr>
        <w:pStyle w:val="Normal.0"/>
        <w:numPr>
          <w:ilvl w:val="0"/>
          <w:numId w:val="17"/>
        </w:numPr>
        <w:bidi w:val="0"/>
        <w:ind w:right="0"/>
        <w:jc w:val="left"/>
        <w:rPr>
          <w:rtl w:val="0"/>
          <w:lang w:val="en-US"/>
        </w:rPr>
      </w:pPr>
      <w:r>
        <w:rPr>
          <w:outline w:val="0"/>
          <w:color w:val="000000"/>
          <w:u w:color="000000"/>
          <w:rtl w:val="0"/>
          <w:lang w:val="en-US"/>
          <w14:textFill>
            <w14:solidFill>
              <w14:srgbClr w14:val="000000"/>
            </w14:solidFill>
          </w14:textFill>
        </w:rPr>
        <w:t>Sexual harassment does not refer to occasional compliments or welcomed interactions of a socially acceptable nature.</w:t>
      </w: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Any suspected child abuse shall be reported in accordance with state law.</w:t>
      </w:r>
    </w:p>
    <w:p>
      <w:pPr>
        <w:pStyle w:val="List Paragraph"/>
        <w:rPr>
          <w:outline w:val="0"/>
          <w:color w:val="000000"/>
          <w:u w:color="000000"/>
          <w14:textFill>
            <w14:solidFill>
              <w14:srgbClr w14:val="000000"/>
            </w14:solidFill>
          </w14:textFill>
        </w:rPr>
      </w:pPr>
    </w:p>
    <w:p>
      <w:pPr>
        <w:pStyle w:val="Normal.0"/>
        <w:numPr>
          <w:ilvl w:val="0"/>
          <w:numId w:val="12"/>
        </w:numPr>
        <w:bidi w:val="0"/>
        <w:ind w:right="0"/>
        <w:jc w:val="left"/>
        <w:rPr>
          <w:rtl w:val="0"/>
          <w:lang w:val="en-US"/>
        </w:rPr>
      </w:pPr>
      <w:r>
        <w:rPr>
          <w:outline w:val="0"/>
          <w:color w:val="000000"/>
          <w:u w:color="000000"/>
          <w:rtl w:val="0"/>
          <w:lang w:val="en-US"/>
          <w14:textFill>
            <w14:solidFill>
              <w14:srgbClr w14:val="000000"/>
            </w14:solidFill>
          </w14:textFill>
        </w:rPr>
        <w:t xml:space="preserve">Specific Prohibition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Sexual harassment in any form is prohibited. All claims of sexual harassment will be subject to prompt and thorough investigation.</w:t>
      </w:r>
    </w:p>
    <w:p>
      <w:pPr>
        <w:pStyle w:val="List Paragraph"/>
        <w:rPr>
          <w:outline w:val="0"/>
          <w:color w:val="000000"/>
          <w:u w:color="000000"/>
          <w14:textFill>
            <w14:solidFill>
              <w14:srgbClr w14:val="000000"/>
            </w14:solidFill>
          </w14:textFill>
        </w:rPr>
      </w:pPr>
    </w:p>
    <w:p>
      <w:pPr>
        <w:pStyle w:val="Normal.0"/>
        <w:numPr>
          <w:ilvl w:val="0"/>
          <w:numId w:val="19"/>
        </w:numPr>
        <w:bidi w:val="0"/>
        <w:ind w:right="0"/>
        <w:jc w:val="left"/>
        <w:rPr>
          <w:rtl w:val="0"/>
          <w:lang w:val="en-US"/>
        </w:rPr>
      </w:pPr>
      <w:r>
        <w:rPr>
          <w:outline w:val="0"/>
          <w:color w:val="000000"/>
          <w:u w:color="000000"/>
          <w:rtl w:val="0"/>
          <w:lang w:val="en-US"/>
          <w14:textFill>
            <w14:solidFill>
              <w14:srgbClr w14:val="000000"/>
            </w14:solidFill>
          </w14:textFill>
        </w:rPr>
        <w:t>It is sexual harassment for an administrator or supervisor to use his/her authority to solicit sexual favors or attention from</w:t>
      </w:r>
      <w:r>
        <w:rPr>
          <w:b w:val="1"/>
          <w:b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subordinates, including, but not limited to, incidents when the subordinate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failure to submit will result in adverse treatment, or when the subordinate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acquiescence will result in preferential treatment. Administrators and supervisors who either engage in sexual harassment or tolerate such conduct by other employees shall be subject to penalties.</w:t>
      </w:r>
    </w:p>
    <w:p>
      <w:pPr>
        <w:pStyle w:val="Norm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170" w:firstLine="0"/>
        <w:rPr>
          <w:outline w:val="0"/>
          <w:color w:val="000000"/>
          <w:u w:color="000000"/>
          <w14:textFill>
            <w14:solidFill>
              <w14:srgbClr w14:val="000000"/>
            </w14:solidFill>
          </w14:textFill>
        </w:rPr>
      </w:pPr>
    </w:p>
    <w:p>
      <w:pPr>
        <w:pStyle w:val="Normal.0"/>
        <w:numPr>
          <w:ilvl w:val="0"/>
          <w:numId w:val="19"/>
        </w:numPr>
        <w:bidi w:val="0"/>
        <w:ind w:right="0"/>
        <w:jc w:val="left"/>
        <w:rPr>
          <w:rtl w:val="0"/>
          <w:lang w:val="en-US"/>
        </w:rPr>
      </w:pPr>
      <w:r>
        <w:rPr>
          <w:outline w:val="0"/>
          <w:color w:val="000000"/>
          <w:u w:color="000000"/>
          <w:rtl w:val="0"/>
          <w:lang w:val="en-US"/>
          <w14:textFill>
            <w14:solidFill>
              <w14:srgbClr w14:val="000000"/>
            </w14:solidFill>
          </w14:textFill>
        </w:rPr>
        <w:t>It is sexual harassment for a non-administrator and non-supervisory employee to subject another such employee to any unwelcome conduct of a sexual nature. Employees who engage in such conduct shall be subject to penalties.</w:t>
      </w:r>
    </w:p>
    <w:p>
      <w:pPr>
        <w:pStyle w:val="List Paragraph"/>
        <w:rPr>
          <w:outline w:val="0"/>
          <w:color w:val="000000"/>
          <w:u w:color="000000"/>
          <w14:textFill>
            <w14:solidFill>
              <w14:srgbClr w14:val="000000"/>
            </w14:solidFill>
          </w14:textFill>
        </w:rPr>
      </w:pPr>
    </w:p>
    <w:p>
      <w:pPr>
        <w:pStyle w:val="Normal.0"/>
        <w:numPr>
          <w:ilvl w:val="0"/>
          <w:numId w:val="19"/>
        </w:numPr>
        <w:bidi w:val="0"/>
        <w:ind w:right="0"/>
        <w:jc w:val="left"/>
        <w:rPr>
          <w:rtl w:val="0"/>
          <w:lang w:val="en-US"/>
        </w:rPr>
      </w:pPr>
      <w:r>
        <w:rPr>
          <w:outline w:val="0"/>
          <w:color w:val="000000"/>
          <w:u w:color="000000"/>
          <w:rtl w:val="0"/>
          <w:lang w:val="en-US"/>
          <w14:textFill>
            <w14:solidFill>
              <w14:srgbClr w14:val="000000"/>
            </w14:solidFill>
          </w14:textFill>
        </w:rPr>
        <w:t>It is sexual harassment for a Coffee County Board of Education employee to use his or her authority to solicit sexual favors or attention from students. Board employees who either engage in sexual harassment or tolerate such conduct by other employees shall be subject to penalties.</w:t>
      </w:r>
    </w:p>
    <w:p>
      <w:pPr>
        <w:pStyle w:val="List Paragraph"/>
        <w:rPr>
          <w:outline w:val="0"/>
          <w:color w:val="000000"/>
          <w:u w:color="000000"/>
          <w14:textFill>
            <w14:solidFill>
              <w14:srgbClr w14:val="000000"/>
            </w14:solidFill>
          </w14:textFill>
        </w:rPr>
      </w:pPr>
    </w:p>
    <w:p>
      <w:pPr>
        <w:pStyle w:val="Normal.0"/>
        <w:numPr>
          <w:ilvl w:val="0"/>
          <w:numId w:val="20"/>
        </w:numPr>
        <w:bidi w:val="0"/>
        <w:ind w:right="0"/>
        <w:jc w:val="left"/>
        <w:rPr>
          <w:rtl w:val="0"/>
          <w:lang w:val="en-US"/>
        </w:rPr>
      </w:pPr>
      <w:r>
        <w:rPr>
          <w:outline w:val="0"/>
          <w:color w:val="000000"/>
          <w:u w:color="000000"/>
          <w:rtl w:val="0"/>
          <w:lang w:val="en-US"/>
          <w14:textFill>
            <w14:solidFill>
              <w14:srgbClr w14:val="000000"/>
            </w14:solidFill>
          </w14:textFill>
        </w:rPr>
        <w:t xml:space="preserve">Procedures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It is the responsibility of any employee to promptly report any occurrence of alleged sexual harassment. This policy on sexual harassment shall be communicated to all employees and supervisors annually to inform them that a procedure exists for reporting claims of sexual harassment, that management will promptly investigate all alleged incidents of sexual harassment, and appropriate corrective action will be taken. This will also be included in new employee training. Employees may report the allegations to any supervisor, if they so choose.  However, notice to any supervisor does not relieve the employee from reporting to the individual or individuals designated in this policy.  Complaints should be reported to the Title IX Coordinator, unless the allegation is against this individual.  If this is the case, the complaint should be reported to the Superintendent.  The complaint  should be in writing, state the act(s), state the date(s), state the name(s) of witnesses and be signed by the complainant.</w:t>
      </w: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tabs>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Investigations will be conducted with discretion. The right to confidentiality, both of the complainant and of the accused, will be respected, consistent with the Board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legal obligations and with the necessity to investigate allegations of misconduct and take corrective action when this conduct has occurred. Claims found to be factually supported will be promptly acted upon. </w:t>
      </w:r>
      <w:r>
        <w:rPr>
          <w:b w:val="1"/>
          <w:bCs w:val="1"/>
          <w:outline w:val="0"/>
          <w:color w:val="000000"/>
          <w:u w:color="000000"/>
          <w:rtl w:val="0"/>
          <w:lang w:val="en-US"/>
          <w14:textFill>
            <w14:solidFill>
              <w14:srgbClr w14:val="000000"/>
            </w14:solidFill>
          </w14:textFill>
        </w:rPr>
        <w:t xml:space="preserve">No employee or student shall be retaliated against, in any manner, for reporting conduct which is believed to be a violation of this rule or for participating in an investigation of a possible violation of this rule.  </w:t>
      </w:r>
    </w:p>
    <w:p>
      <w:pPr>
        <w:pStyle w:val="Normal.0"/>
        <w:tabs>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b w:val="1"/>
          <w:bCs w:val="1"/>
          <w:outline w:val="0"/>
          <w:color w:val="000000"/>
          <w:u w:color="000000"/>
          <w14:textFill>
            <w14:solidFill>
              <w14:srgbClr w14:val="000000"/>
            </w14:solidFill>
          </w14:textFill>
        </w:rPr>
      </w:pP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pPr>
        <w:pStyle w:val="Norm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810" w:firstLine="0"/>
        <w:rPr>
          <w:outline w:val="0"/>
          <w:color w:val="000000"/>
          <w:u w:color="000000"/>
          <w14:textFill>
            <w14:solidFill>
              <w14:srgbClr w14:val="000000"/>
            </w14:solidFill>
          </w14:textFill>
        </w:rPr>
      </w:pPr>
    </w:p>
    <w:p>
      <w:pPr>
        <w:pStyle w:val="Normal.0"/>
        <w:tabs>
          <w:tab w:val="left" w:pos="450"/>
          <w:tab w:val="left" w:pos="810"/>
          <w:tab w:val="left" w:pos="2240"/>
          <w:tab w:val="left" w:pos="2800"/>
          <w:tab w:val="left" w:pos="3360"/>
          <w:tab w:val="left" w:pos="3920"/>
          <w:tab w:val="left" w:pos="4480"/>
          <w:tab w:val="left" w:pos="5040"/>
          <w:tab w:val="left" w:pos="5600"/>
          <w:tab w:val="left" w:pos="6160"/>
          <w:tab w:val="left" w:pos="6720"/>
        </w:tabs>
        <w:ind w:left="81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w:t>
        <w:tab/>
        <w:t xml:space="preserve">Penalties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Necessary disciplinary action, up to and including termination, may result if sexual harassment occurs. Any employee who makes false allegations of sexual harassment will be subject to appropriate disciplinary action, up to and including termination.</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Reference:</w:t>
      </w:r>
      <w:r>
        <w:rPr>
          <w:b w:val="1"/>
          <w:bCs w:val="1"/>
          <w:outline w:val="0"/>
          <w:color w:val="00000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CODE OF ALABAMA 16-1-30</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Reference:  </w:t>
      </w:r>
      <w:r>
        <w:rPr>
          <w:outline w:val="0"/>
          <w:color w:val="000000"/>
          <w:sz w:val="20"/>
          <w:szCs w:val="20"/>
          <w:u w:color="000000"/>
          <w:rtl w:val="0"/>
          <w:lang w:val="en-US"/>
          <w14:textFill>
            <w14:solidFill>
              <w14:srgbClr w14:val="000000"/>
            </w14:solidFill>
          </w14:textFill>
        </w:rPr>
        <w:t>CODE OF ALABAMA 16-11-9, 16-12-3, 26-14-3</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Date adopted:  </w:t>
      </w:r>
      <w:r>
        <w:rPr>
          <w:outline w:val="0"/>
          <w:color w:val="000000"/>
          <w:sz w:val="20"/>
          <w:szCs w:val="20"/>
          <w:u w:color="000000"/>
          <w:rtl w:val="0"/>
          <w:lang w:val="en-US"/>
          <w14:textFill>
            <w14:solidFill>
              <w14:srgbClr w14:val="000000"/>
            </w14:solidFill>
          </w14:textFill>
        </w:rPr>
        <w:t>December 5, 2013</w:t>
      </w:r>
    </w:p>
    <w:p>
      <w:pPr>
        <w:pStyle w:val="Body Text"/>
        <w:tabs>
          <w:tab w:val="left" w:pos="360"/>
          <w:tab w:val="left" w:pos="900"/>
          <w:tab w:val="left" w:pos="1080"/>
        </w:tabs>
        <w:spacing w:after="0"/>
        <w:jc w:val="both"/>
      </w:pPr>
      <w:r>
        <w:rPr>
          <w:b w:val="1"/>
          <w:bCs w:val="1"/>
          <w:sz w:val="20"/>
          <w:szCs w:val="20"/>
          <w:rtl w:val="0"/>
          <w:lang w:val="en-US"/>
        </w:rPr>
        <w:t xml:space="preserve">Related References:  </w:t>
      </w:r>
      <w:r>
        <w:rPr>
          <w:sz w:val="20"/>
          <w:szCs w:val="20"/>
          <w:rtl w:val="0"/>
          <w:lang w:val="en-US"/>
        </w:rPr>
        <w:t xml:space="preserve">Ala. Code </w:t>
      </w:r>
      <w:r>
        <w:rPr>
          <w:sz w:val="20"/>
          <w:szCs w:val="20"/>
          <w:rtl w:val="0"/>
          <w:lang w:val="en-US"/>
        </w:rPr>
        <w:t xml:space="preserve">§ </w:t>
      </w:r>
      <w:r>
        <w:rPr>
          <w:rStyle w:val="Link"/>
          <w:outline w:val="0"/>
          <w:color w:val="000080"/>
          <w:u w:val="single" w:color="000080"/>
          <w:rtl w:val="0"/>
          <w14:textFill>
            <w14:solidFill>
              <w14:srgbClr w14:val="000080"/>
            </w14:solidFill>
          </w14:textFill>
        </w:rPr>
        <w:t>26-14-3</w:t>
      </w:r>
      <w:r>
        <w:rPr>
          <w:sz w:val="20"/>
          <w:szCs w:val="20"/>
          <w:rtl w:val="0"/>
          <w:lang w:val="en-US"/>
        </w:rPr>
        <w:t>.</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2240"/>
          <w:tab w:val="left" w:pos="2800"/>
          <w:tab w:val="left" w:pos="3360"/>
          <w:tab w:val="left" w:pos="3920"/>
          <w:tab w:val="left" w:pos="4480"/>
          <w:tab w:val="left" w:pos="5040"/>
          <w:tab w:val="left" w:pos="5600"/>
          <w:tab w:val="left" w:pos="6160"/>
          <w:tab w:val="left" w:pos="67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240"/>
          <w:tab w:val="left" w:pos="2800"/>
          <w:tab w:val="left" w:pos="3360"/>
          <w:tab w:val="left" w:pos="3920"/>
          <w:tab w:val="left" w:pos="4480"/>
          <w:tab w:val="left" w:pos="5040"/>
          <w:tab w:val="left" w:pos="5600"/>
          <w:tab w:val="left" w:pos="6160"/>
          <w:tab w:val="left" w:pos="6720"/>
        </w:tabs>
        <w:ind w:left="1520" w:hanging="1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50"/>
          <w:tab w:val="left" w:pos="2240"/>
          <w:tab w:val="left" w:pos="2800"/>
          <w:tab w:val="left" w:pos="3360"/>
          <w:tab w:val="left" w:pos="3920"/>
          <w:tab w:val="left" w:pos="4480"/>
          <w:tab w:val="left" w:pos="5040"/>
          <w:tab w:val="left" w:pos="5600"/>
          <w:tab w:val="left" w:pos="6160"/>
          <w:tab w:val="left" w:pos="6720"/>
        </w:tabs>
        <w:ind w:left="1530" w:hanging="7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0"/>
          <w:tab w:val="left" w:pos="2800"/>
          <w:tab w:val="left" w:pos="3360"/>
          <w:tab w:val="left" w:pos="3920"/>
          <w:tab w:val="left" w:pos="4480"/>
          <w:tab w:val="left" w:pos="5040"/>
          <w:tab w:val="left" w:pos="5600"/>
          <w:tab w:val="left" w:pos="6160"/>
          <w:tab w:val="left" w:pos="6720"/>
        </w:tabs>
        <w:ind w:left="225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50"/>
          <w:tab w:val="left" w:pos="2240"/>
          <w:tab w:val="left" w:pos="3360"/>
          <w:tab w:val="left" w:pos="3920"/>
          <w:tab w:val="left" w:pos="4480"/>
          <w:tab w:val="left" w:pos="5040"/>
          <w:tab w:val="left" w:pos="5600"/>
          <w:tab w:val="left" w:pos="6160"/>
          <w:tab w:val="left" w:pos="6720"/>
        </w:tabs>
        <w:ind w:left="297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50"/>
          <w:tab w:val="left" w:pos="2240"/>
          <w:tab w:val="left" w:pos="2800"/>
          <w:tab w:val="left" w:pos="3360"/>
          <w:tab w:val="left" w:pos="3920"/>
          <w:tab w:val="left" w:pos="4480"/>
          <w:tab w:val="left" w:pos="5040"/>
          <w:tab w:val="left" w:pos="5600"/>
          <w:tab w:val="left" w:pos="6160"/>
          <w:tab w:val="left" w:pos="6720"/>
        </w:tabs>
        <w:ind w:left="369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450"/>
          <w:tab w:val="left" w:pos="2240"/>
          <w:tab w:val="left" w:pos="2800"/>
          <w:tab w:val="left" w:pos="3360"/>
          <w:tab w:val="left" w:pos="3920"/>
          <w:tab w:val="left" w:pos="4480"/>
          <w:tab w:val="left" w:pos="5040"/>
          <w:tab w:val="left" w:pos="5600"/>
          <w:tab w:val="left" w:pos="6160"/>
          <w:tab w:val="left" w:pos="6720"/>
        </w:tabs>
        <w:ind w:left="441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50"/>
          <w:tab w:val="left" w:pos="2240"/>
          <w:tab w:val="left" w:pos="2800"/>
          <w:tab w:val="left" w:pos="3360"/>
          <w:tab w:val="left" w:pos="3920"/>
          <w:tab w:val="left" w:pos="4480"/>
          <w:tab w:val="left" w:pos="5600"/>
          <w:tab w:val="left" w:pos="6160"/>
          <w:tab w:val="left" w:pos="6720"/>
        </w:tabs>
        <w:ind w:left="513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50"/>
          <w:tab w:val="left" w:pos="2240"/>
          <w:tab w:val="left" w:pos="2800"/>
          <w:tab w:val="left" w:pos="3360"/>
          <w:tab w:val="left" w:pos="3920"/>
          <w:tab w:val="left" w:pos="4480"/>
          <w:tab w:val="left" w:pos="5040"/>
          <w:tab w:val="left" w:pos="5600"/>
          <w:tab w:val="left" w:pos="6160"/>
          <w:tab w:val="left" w:pos="6720"/>
        </w:tabs>
        <w:ind w:left="585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left" w:pos="450"/>
          <w:tab w:val="left" w:pos="1680"/>
          <w:tab w:val="left" w:pos="2240"/>
          <w:tab w:val="left" w:pos="2800"/>
          <w:tab w:val="left" w:pos="3360"/>
          <w:tab w:val="left" w:pos="3920"/>
          <w:tab w:val="left" w:pos="4480"/>
          <w:tab w:val="left" w:pos="5040"/>
          <w:tab w:val="left" w:pos="5600"/>
          <w:tab w:val="left" w:pos="6160"/>
          <w:tab w:val="left" w:pos="6720"/>
        </w:tabs>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50"/>
          <w:tab w:val="left" w:pos="810"/>
          <w:tab w:val="left" w:pos="1680"/>
          <w:tab w:val="left" w:pos="2240"/>
          <w:tab w:val="left" w:pos="2800"/>
          <w:tab w:val="left" w:pos="3360"/>
          <w:tab w:val="left" w:pos="3920"/>
          <w:tab w:val="left" w:pos="4480"/>
          <w:tab w:val="left" w:pos="5040"/>
          <w:tab w:val="left" w:pos="5600"/>
          <w:tab w:val="left" w:pos="6160"/>
          <w:tab w:val="left" w:pos="6720"/>
        </w:tabs>
        <w:ind w:left="1530" w:hanging="5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50"/>
          <w:tab w:val="left" w:pos="810"/>
          <w:tab w:val="left" w:pos="1680"/>
          <w:tab w:val="left" w:pos="2800"/>
          <w:tab w:val="left" w:pos="3360"/>
          <w:tab w:val="left" w:pos="3920"/>
          <w:tab w:val="left" w:pos="4480"/>
          <w:tab w:val="left" w:pos="5040"/>
          <w:tab w:val="left" w:pos="5600"/>
          <w:tab w:val="left" w:pos="6160"/>
          <w:tab w:val="left" w:pos="6720"/>
        </w:tabs>
        <w:ind w:left="2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450"/>
          <w:tab w:val="left" w:pos="810"/>
          <w:tab w:val="left" w:pos="1680"/>
          <w:tab w:val="left" w:pos="2240"/>
          <w:tab w:val="left" w:pos="2800"/>
          <w:tab w:val="left" w:pos="3360"/>
          <w:tab w:val="left" w:pos="3920"/>
          <w:tab w:val="left" w:pos="4480"/>
          <w:tab w:val="left" w:pos="5040"/>
          <w:tab w:val="left" w:pos="5600"/>
          <w:tab w:val="left" w:pos="6160"/>
          <w:tab w:val="left" w:pos="6720"/>
        </w:tabs>
        <w:ind w:left="2800" w:hanging="1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50"/>
          <w:tab w:val="left" w:pos="810"/>
          <w:tab w:val="left" w:pos="1680"/>
          <w:tab w:val="left" w:pos="2240"/>
          <w:tab w:val="left" w:pos="2800"/>
          <w:tab w:val="left" w:pos="3920"/>
          <w:tab w:val="left" w:pos="4480"/>
          <w:tab w:val="left" w:pos="5040"/>
          <w:tab w:val="left" w:pos="5600"/>
          <w:tab w:val="left" w:pos="6160"/>
          <w:tab w:val="left" w:pos="6720"/>
        </w:tabs>
        <w:ind w:left="3690" w:hanging="5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50"/>
          <w:tab w:val="left" w:pos="810"/>
          <w:tab w:val="left" w:pos="1680"/>
          <w:tab w:val="left" w:pos="2240"/>
          <w:tab w:val="left" w:pos="2800"/>
          <w:tab w:val="left" w:pos="3360"/>
          <w:tab w:val="left" w:pos="3920"/>
          <w:tab w:val="left" w:pos="4480"/>
          <w:tab w:val="left" w:pos="5040"/>
          <w:tab w:val="left" w:pos="5600"/>
          <w:tab w:val="left" w:pos="6160"/>
          <w:tab w:val="left" w:pos="6720"/>
        </w:tabs>
        <w:ind w:left="441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50"/>
          <w:tab w:val="left" w:pos="810"/>
          <w:tab w:val="left" w:pos="1680"/>
          <w:tab w:val="left" w:pos="2240"/>
          <w:tab w:val="left" w:pos="2800"/>
          <w:tab w:val="left" w:pos="3360"/>
          <w:tab w:val="left" w:pos="3920"/>
          <w:tab w:val="left" w:pos="4480"/>
          <w:tab w:val="left" w:pos="5600"/>
          <w:tab w:val="left" w:pos="6160"/>
          <w:tab w:val="left" w:pos="672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50"/>
          <w:tab w:val="left" w:pos="810"/>
          <w:tab w:val="left" w:pos="1680"/>
          <w:tab w:val="left" w:pos="2240"/>
          <w:tab w:val="left" w:pos="2800"/>
          <w:tab w:val="left" w:pos="3360"/>
          <w:tab w:val="left" w:pos="3920"/>
          <w:tab w:val="left" w:pos="4480"/>
          <w:tab w:val="left" w:pos="5040"/>
          <w:tab w:val="left" w:pos="6160"/>
          <w:tab w:val="left" w:pos="6720"/>
        </w:tabs>
        <w:ind w:left="5850" w:hanging="6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50"/>
          <w:tab w:val="left" w:pos="810"/>
          <w:tab w:val="left" w:pos="1680"/>
          <w:tab w:val="left" w:pos="2240"/>
          <w:tab w:val="left" w:pos="2800"/>
          <w:tab w:val="left" w:pos="3360"/>
          <w:tab w:val="left" w:pos="3920"/>
          <w:tab w:val="left" w:pos="4480"/>
          <w:tab w:val="left" w:pos="5040"/>
          <w:tab w:val="left" w:pos="5600"/>
          <w:tab w:val="left" w:pos="6160"/>
          <w:tab w:val="left" w:pos="6720"/>
        </w:tabs>
        <w:ind w:left="657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3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left" w:pos="2240"/>
          <w:tab w:val="num" w:pos="2610"/>
          <w:tab w:val="left" w:pos="2800"/>
          <w:tab w:val="left" w:pos="3360"/>
          <w:tab w:val="left" w:pos="3920"/>
          <w:tab w:val="left" w:pos="4480"/>
          <w:tab w:val="left" w:pos="5040"/>
          <w:tab w:val="left" w:pos="5600"/>
          <w:tab w:val="left" w:pos="6160"/>
          <w:tab w:val="left" w:pos="6720"/>
        </w:tabs>
        <w:ind w:left="26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num" w:pos="3330"/>
          <w:tab w:val="left" w:pos="3360"/>
          <w:tab w:val="left" w:pos="3920"/>
          <w:tab w:val="left" w:pos="4480"/>
          <w:tab w:val="left" w:pos="5040"/>
          <w:tab w:val="left" w:pos="5600"/>
          <w:tab w:val="left" w:pos="6160"/>
          <w:tab w:val="left" w:pos="6720"/>
        </w:tabs>
        <w:ind w:left="3380"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num" w:pos="3920"/>
          <w:tab w:val="left" w:pos="4480"/>
          <w:tab w:val="left" w:pos="5040"/>
          <w:tab w:val="left" w:pos="5600"/>
          <w:tab w:val="left" w:pos="6160"/>
          <w:tab w:val="left" w:pos="6720"/>
        </w:tabs>
        <w:ind w:left="397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num" w:pos="4770"/>
          <w:tab w:val="left" w:pos="5040"/>
          <w:tab w:val="left" w:pos="5600"/>
          <w:tab w:val="left" w:pos="6160"/>
          <w:tab w:val="left" w:pos="6720"/>
        </w:tabs>
        <w:ind w:left="4820" w:hanging="6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num" w:pos="5490"/>
          <w:tab w:val="left" w:pos="5600"/>
          <w:tab w:val="left" w:pos="6160"/>
          <w:tab w:val="left" w:pos="6720"/>
        </w:tabs>
        <w:ind w:left="5540" w:hanging="5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num" w:pos="6160"/>
          <w:tab w:val="left" w:pos="6720"/>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num" w:pos="6930"/>
        </w:tabs>
        <w:ind w:left="698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680" w:hanging="1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2610" w:hanging="4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333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70"/>
          <w:tab w:val="left" w:pos="1680"/>
          <w:tab w:val="left" w:pos="2240"/>
          <w:tab w:val="left" w:pos="2800"/>
          <w:tab w:val="left" w:pos="3360"/>
          <w:tab w:val="left" w:pos="4480"/>
          <w:tab w:val="left" w:pos="5040"/>
          <w:tab w:val="left" w:pos="5600"/>
          <w:tab w:val="left" w:pos="6160"/>
          <w:tab w:val="left" w:pos="6720"/>
        </w:tabs>
        <w:ind w:left="3920" w:hanging="2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70"/>
          <w:tab w:val="left" w:pos="1680"/>
          <w:tab w:val="left" w:pos="2240"/>
          <w:tab w:val="left" w:pos="2800"/>
          <w:tab w:val="left" w:pos="3360"/>
          <w:tab w:val="left" w:pos="3920"/>
          <w:tab w:val="left" w:pos="5040"/>
          <w:tab w:val="left" w:pos="5600"/>
          <w:tab w:val="left" w:pos="6160"/>
          <w:tab w:val="left" w:pos="6720"/>
        </w:tabs>
        <w:ind w:left="4770" w:hanging="5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5490" w:hanging="4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70"/>
          <w:tab w:val="left" w:pos="1680"/>
          <w:tab w:val="left" w:pos="2240"/>
          <w:tab w:val="left" w:pos="2800"/>
          <w:tab w:val="left" w:pos="3360"/>
          <w:tab w:val="left" w:pos="3920"/>
          <w:tab w:val="left" w:pos="4480"/>
          <w:tab w:val="left" w:pos="5040"/>
          <w:tab w:val="left" w:pos="5600"/>
          <w:tab w:val="left" w:pos="6720"/>
        </w:tabs>
        <w:ind w:left="6160" w:hanging="3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1530" w:hanging="5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810"/>
          <w:tab w:val="left" w:pos="1680"/>
          <w:tab w:val="left" w:pos="2800"/>
          <w:tab w:val="left" w:pos="3360"/>
          <w:tab w:val="left" w:pos="3920"/>
          <w:tab w:val="left" w:pos="4480"/>
          <w:tab w:val="left" w:pos="5040"/>
          <w:tab w:val="left" w:pos="5600"/>
          <w:tab w:val="left" w:pos="6160"/>
          <w:tab w:val="left" w:pos="6720"/>
        </w:tabs>
        <w:ind w:left="2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2800" w:hanging="1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810"/>
          <w:tab w:val="left" w:pos="1680"/>
          <w:tab w:val="left" w:pos="2240"/>
          <w:tab w:val="left" w:pos="2800"/>
          <w:tab w:val="left" w:pos="3920"/>
          <w:tab w:val="left" w:pos="4480"/>
          <w:tab w:val="left" w:pos="5040"/>
          <w:tab w:val="left" w:pos="5600"/>
          <w:tab w:val="left" w:pos="6160"/>
          <w:tab w:val="left" w:pos="6720"/>
        </w:tabs>
        <w:ind w:left="3690" w:hanging="5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4410"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810"/>
          <w:tab w:val="left" w:pos="1680"/>
          <w:tab w:val="left" w:pos="2240"/>
          <w:tab w:val="left" w:pos="2800"/>
          <w:tab w:val="left" w:pos="3360"/>
          <w:tab w:val="left" w:pos="3920"/>
          <w:tab w:val="left" w:pos="4480"/>
          <w:tab w:val="left" w:pos="5600"/>
          <w:tab w:val="left" w:pos="6160"/>
          <w:tab w:val="left" w:pos="672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810"/>
          <w:tab w:val="left" w:pos="1680"/>
          <w:tab w:val="left" w:pos="2240"/>
          <w:tab w:val="left" w:pos="2800"/>
          <w:tab w:val="left" w:pos="3360"/>
          <w:tab w:val="left" w:pos="3920"/>
          <w:tab w:val="left" w:pos="4480"/>
          <w:tab w:val="left" w:pos="5040"/>
          <w:tab w:val="left" w:pos="6160"/>
          <w:tab w:val="left" w:pos="6720"/>
        </w:tabs>
        <w:ind w:left="5850" w:hanging="6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657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560"/>
          <w:tab w:val="left" w:pos="810"/>
          <w:tab w:val="num" w:pos="1170"/>
          <w:tab w:val="left" w:pos="2240"/>
          <w:tab w:val="left" w:pos="2800"/>
          <w:tab w:val="left" w:pos="3360"/>
          <w:tab w:val="left" w:pos="3920"/>
          <w:tab w:val="left" w:pos="4480"/>
          <w:tab w:val="left" w:pos="5040"/>
          <w:tab w:val="left" w:pos="5600"/>
          <w:tab w:val="left" w:pos="6160"/>
          <w:tab w:val="left" w:pos="6720"/>
        </w:tabs>
        <w:ind w:left="153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810"/>
          <w:tab w:val="left" w:pos="1170"/>
          <w:tab w:val="num" w:pos="2240"/>
          <w:tab w:val="left" w:pos="2800"/>
          <w:tab w:val="left" w:pos="3360"/>
          <w:tab w:val="left" w:pos="3920"/>
          <w:tab w:val="left" w:pos="4480"/>
          <w:tab w:val="left" w:pos="5040"/>
          <w:tab w:val="left" w:pos="5600"/>
          <w:tab w:val="left" w:pos="6160"/>
          <w:tab w:val="left" w:pos="6720"/>
        </w:tabs>
        <w:ind w:left="2600" w:hanging="10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810"/>
          <w:tab w:val="left" w:pos="1170"/>
          <w:tab w:val="left" w:pos="2240"/>
          <w:tab w:val="num" w:pos="2800"/>
          <w:tab w:val="left" w:pos="3360"/>
          <w:tab w:val="left" w:pos="3920"/>
          <w:tab w:val="left" w:pos="4480"/>
          <w:tab w:val="left" w:pos="5040"/>
          <w:tab w:val="left" w:pos="5600"/>
          <w:tab w:val="left" w:pos="6160"/>
          <w:tab w:val="left" w:pos="6720"/>
        </w:tabs>
        <w:ind w:left="316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810"/>
          <w:tab w:val="left" w:pos="1170"/>
          <w:tab w:val="left" w:pos="2240"/>
          <w:tab w:val="left" w:pos="2800"/>
          <w:tab w:val="num" w:pos="3360"/>
          <w:tab w:val="left" w:pos="3920"/>
          <w:tab w:val="left" w:pos="4480"/>
          <w:tab w:val="left" w:pos="5040"/>
          <w:tab w:val="left" w:pos="5600"/>
          <w:tab w:val="left" w:pos="6160"/>
          <w:tab w:val="left" w:pos="6720"/>
        </w:tabs>
        <w:ind w:left="3720" w:hanging="7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810"/>
          <w:tab w:val="left" w:pos="1170"/>
          <w:tab w:val="left" w:pos="2240"/>
          <w:tab w:val="left" w:pos="2800"/>
          <w:tab w:val="left" w:pos="3360"/>
          <w:tab w:val="num" w:pos="3920"/>
          <w:tab w:val="left" w:pos="4480"/>
          <w:tab w:val="left" w:pos="5040"/>
          <w:tab w:val="left" w:pos="5600"/>
          <w:tab w:val="left" w:pos="6160"/>
          <w:tab w:val="left" w:pos="6720"/>
        </w:tabs>
        <w:ind w:left="4280" w:hanging="5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810"/>
          <w:tab w:val="left" w:pos="1170"/>
          <w:tab w:val="left" w:pos="2240"/>
          <w:tab w:val="left" w:pos="2800"/>
          <w:tab w:val="left" w:pos="3360"/>
          <w:tab w:val="left" w:pos="3920"/>
          <w:tab w:val="left" w:pos="4480"/>
          <w:tab w:val="num" w:pos="5040"/>
          <w:tab w:val="left" w:pos="5600"/>
          <w:tab w:val="left" w:pos="6160"/>
          <w:tab w:val="left" w:pos="6720"/>
        </w:tabs>
        <w:ind w:left="540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810"/>
          <w:tab w:val="left" w:pos="1170"/>
          <w:tab w:val="left" w:pos="2240"/>
          <w:tab w:val="left" w:pos="2800"/>
          <w:tab w:val="left" w:pos="3360"/>
          <w:tab w:val="left" w:pos="3920"/>
          <w:tab w:val="left" w:pos="4480"/>
          <w:tab w:val="left" w:pos="5040"/>
          <w:tab w:val="num" w:pos="5600"/>
          <w:tab w:val="left" w:pos="6160"/>
          <w:tab w:val="left" w:pos="6720"/>
        </w:tabs>
        <w:ind w:left="5960" w:hanging="8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810"/>
          <w:tab w:val="left" w:pos="1170"/>
          <w:tab w:val="left" w:pos="2240"/>
          <w:tab w:val="left" w:pos="2800"/>
          <w:tab w:val="left" w:pos="3360"/>
          <w:tab w:val="left" w:pos="3920"/>
          <w:tab w:val="left" w:pos="4480"/>
          <w:tab w:val="left" w:pos="5040"/>
          <w:tab w:val="left" w:pos="5600"/>
          <w:tab w:val="num" w:pos="6160"/>
          <w:tab w:val="left" w:pos="6720"/>
        </w:tabs>
        <w:ind w:left="6520" w:hanging="6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 w:val="num" w:pos="7090"/>
        </w:tabs>
        <w:ind w:left="7450" w:hanging="8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680" w:hanging="1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2610" w:hanging="4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3330" w:hanging="3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70"/>
          <w:tab w:val="left" w:pos="1680"/>
          <w:tab w:val="left" w:pos="2240"/>
          <w:tab w:val="left" w:pos="2800"/>
          <w:tab w:val="left" w:pos="3360"/>
          <w:tab w:val="left" w:pos="4480"/>
          <w:tab w:val="left" w:pos="5040"/>
          <w:tab w:val="left" w:pos="5600"/>
          <w:tab w:val="left" w:pos="6160"/>
          <w:tab w:val="left" w:pos="6720"/>
        </w:tabs>
        <w:ind w:left="3920" w:hanging="2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70"/>
          <w:tab w:val="left" w:pos="1680"/>
          <w:tab w:val="left" w:pos="2240"/>
          <w:tab w:val="left" w:pos="2800"/>
          <w:tab w:val="left" w:pos="3360"/>
          <w:tab w:val="left" w:pos="3920"/>
          <w:tab w:val="left" w:pos="5040"/>
          <w:tab w:val="left" w:pos="5600"/>
          <w:tab w:val="left" w:pos="6160"/>
          <w:tab w:val="left" w:pos="6720"/>
        </w:tabs>
        <w:ind w:left="4770" w:hanging="5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5490" w:hanging="4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70"/>
          <w:tab w:val="left" w:pos="1680"/>
          <w:tab w:val="left" w:pos="2240"/>
          <w:tab w:val="left" w:pos="2800"/>
          <w:tab w:val="left" w:pos="3360"/>
          <w:tab w:val="left" w:pos="3920"/>
          <w:tab w:val="left" w:pos="4480"/>
          <w:tab w:val="left" w:pos="5040"/>
          <w:tab w:val="left" w:pos="5600"/>
          <w:tab w:val="left" w:pos="6720"/>
        </w:tabs>
        <w:ind w:left="6160" w:hanging="3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168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261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33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0"/>
            <w:tab w:val="left" w:pos="1170"/>
            <w:tab w:val="left" w:pos="1680"/>
            <w:tab w:val="left" w:pos="2240"/>
            <w:tab w:val="left" w:pos="2800"/>
            <w:tab w:val="left" w:pos="3360"/>
            <w:tab w:val="left" w:pos="4480"/>
            <w:tab w:val="left" w:pos="5040"/>
            <w:tab w:val="left" w:pos="5600"/>
            <w:tab w:val="left" w:pos="6160"/>
            <w:tab w:val="left" w:pos="6720"/>
          </w:tabs>
          <w:ind w:left="392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0"/>
            <w:tab w:val="left" w:pos="1170"/>
            <w:tab w:val="left" w:pos="1680"/>
            <w:tab w:val="left" w:pos="2240"/>
            <w:tab w:val="left" w:pos="2800"/>
            <w:tab w:val="left" w:pos="3360"/>
            <w:tab w:val="left" w:pos="3920"/>
            <w:tab w:val="left" w:pos="5040"/>
            <w:tab w:val="left" w:pos="5600"/>
            <w:tab w:val="left" w:pos="6160"/>
            <w:tab w:val="left" w:pos="6720"/>
          </w:tabs>
          <w:ind w:left="477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549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0"/>
            <w:tab w:val="left" w:pos="1170"/>
            <w:tab w:val="left" w:pos="1680"/>
            <w:tab w:val="left" w:pos="2240"/>
            <w:tab w:val="left" w:pos="2800"/>
            <w:tab w:val="left" w:pos="3360"/>
            <w:tab w:val="left" w:pos="3920"/>
            <w:tab w:val="left" w:pos="4480"/>
            <w:tab w:val="left" w:pos="5040"/>
            <w:tab w:val="left" w:pos="5600"/>
            <w:tab w:val="left" w:pos="6720"/>
          </w:tabs>
          <w:ind w:left="6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2"/>
      <w:lvl w:ilvl="0">
        <w:start w:val="2"/>
        <w:numFmt w:val="upperLetter"/>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153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0"/>
            <w:tab w:val="left" w:pos="810"/>
            <w:tab w:val="left" w:pos="1680"/>
            <w:tab w:val="left" w:pos="2800"/>
            <w:tab w:val="left" w:pos="3360"/>
            <w:tab w:val="left" w:pos="3920"/>
            <w:tab w:val="left" w:pos="4480"/>
            <w:tab w:val="left" w:pos="5040"/>
            <w:tab w:val="left" w:pos="5600"/>
            <w:tab w:val="left" w:pos="6160"/>
            <w:tab w:val="left" w:pos="6720"/>
          </w:tabs>
          <w:ind w:left="22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280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0"/>
            <w:tab w:val="left" w:pos="810"/>
            <w:tab w:val="left" w:pos="1680"/>
            <w:tab w:val="left" w:pos="2240"/>
            <w:tab w:val="left" w:pos="2800"/>
            <w:tab w:val="left" w:pos="3920"/>
            <w:tab w:val="left" w:pos="4480"/>
            <w:tab w:val="left" w:pos="5040"/>
            <w:tab w:val="left" w:pos="5600"/>
            <w:tab w:val="left" w:pos="6160"/>
            <w:tab w:val="left" w:pos="6720"/>
          </w:tabs>
          <w:ind w:left="369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441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810"/>
            <w:tab w:val="left" w:pos="1680"/>
            <w:tab w:val="left" w:pos="2240"/>
            <w:tab w:val="left" w:pos="2800"/>
            <w:tab w:val="left" w:pos="3360"/>
            <w:tab w:val="left" w:pos="3920"/>
            <w:tab w:val="left" w:pos="4480"/>
            <w:tab w:val="left" w:pos="5600"/>
            <w:tab w:val="left" w:pos="6160"/>
            <w:tab w:val="left" w:pos="672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0"/>
            <w:tab w:val="left" w:pos="810"/>
            <w:tab w:val="left" w:pos="1680"/>
            <w:tab w:val="left" w:pos="2240"/>
            <w:tab w:val="left" w:pos="2800"/>
            <w:tab w:val="left" w:pos="3360"/>
            <w:tab w:val="left" w:pos="3920"/>
            <w:tab w:val="left" w:pos="4480"/>
            <w:tab w:val="left" w:pos="5040"/>
            <w:tab w:val="left" w:pos="6160"/>
            <w:tab w:val="left" w:pos="6720"/>
          </w:tabs>
          <w:ind w:left="585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left="65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6"/>
    <w:lvlOverride w:ilvl="0">
      <w:startOverride w:val="3"/>
      <w:lvl w:ilvl="0">
        <w:start w:val="3"/>
        <w:numFmt w:val="decimal"/>
        <w:suff w:val="tab"/>
        <w:lvlText w:val="%1."/>
        <w:lvlJc w:val="left"/>
        <w:pPr>
          <w:tabs>
            <w:tab w:val="left" w:pos="560"/>
            <w:tab w:val="left" w:pos="810"/>
            <w:tab w:val="left" w:pos="2240"/>
            <w:tab w:val="left" w:pos="2800"/>
            <w:tab w:val="left" w:pos="3360"/>
            <w:tab w:val="left" w:pos="3920"/>
            <w:tab w:val="left" w:pos="4480"/>
            <w:tab w:val="left" w:pos="5040"/>
            <w:tab w:val="left" w:pos="5600"/>
            <w:tab w:val="left" w:pos="6160"/>
            <w:tab w:val="left" w:pos="6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189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261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33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0"/>
            <w:tab w:val="left" w:pos="810"/>
            <w:tab w:val="left" w:pos="1170"/>
            <w:tab w:val="left" w:pos="2240"/>
            <w:tab w:val="left" w:pos="2800"/>
            <w:tab w:val="left" w:pos="3360"/>
            <w:tab w:val="left" w:pos="4480"/>
            <w:tab w:val="left" w:pos="5040"/>
            <w:tab w:val="left" w:pos="5600"/>
            <w:tab w:val="left" w:pos="6160"/>
            <w:tab w:val="left" w:pos="6720"/>
          </w:tabs>
          <w:ind w:left="392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0"/>
            <w:tab w:val="left" w:pos="810"/>
            <w:tab w:val="left" w:pos="1170"/>
            <w:tab w:val="left" w:pos="2240"/>
            <w:tab w:val="left" w:pos="2800"/>
            <w:tab w:val="left" w:pos="3360"/>
            <w:tab w:val="left" w:pos="3920"/>
            <w:tab w:val="left" w:pos="5040"/>
            <w:tab w:val="left" w:pos="5600"/>
            <w:tab w:val="left" w:pos="6160"/>
            <w:tab w:val="left" w:pos="6720"/>
          </w:tabs>
          <w:ind w:left="477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549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0"/>
            <w:tab w:val="left" w:pos="810"/>
            <w:tab w:val="left" w:pos="1170"/>
            <w:tab w:val="left" w:pos="2240"/>
            <w:tab w:val="left" w:pos="2800"/>
            <w:tab w:val="left" w:pos="3360"/>
            <w:tab w:val="left" w:pos="3920"/>
            <w:tab w:val="left" w:pos="4480"/>
            <w:tab w:val="left" w:pos="5040"/>
            <w:tab w:val="left" w:pos="5600"/>
            <w:tab w:val="left" w:pos="6720"/>
          </w:tabs>
          <w:ind w:left="616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0"/>
    <w:lvlOverride w:ilvl="0">
      <w:startOverride w:val="6"/>
    </w:lvlOverride>
  </w:num>
  <w:num w:numId="17">
    <w:abstractNumId w:val="8"/>
    <w:lvlOverride w:ilvl="0">
      <w:startOverride w:val="5"/>
    </w:lvlOverride>
  </w:num>
  <w:num w:numId="18">
    <w:abstractNumId w:val="13"/>
  </w:num>
  <w:num w:numId="19">
    <w:abstractNumId w:val="12"/>
  </w:num>
  <w:num w:numId="20">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8"/>
      </w:numPr>
    </w:pPr>
  </w:style>
  <w:style w:type="character" w:styleId="Link">
    <w:name w:val="Link"/>
    <w:rPr>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