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829" w:rsidRDefault="00914829" w:rsidP="00914829">
      <w:pPr>
        <w:pStyle w:val="BodyTextIndent"/>
        <w:spacing w:after="0"/>
        <w:ind w:left="0"/>
        <w:contextualSpacing/>
        <w:jc w:val="center"/>
        <w:rPr>
          <w:rFonts w:ascii="Verdana" w:hAnsi="Verdana"/>
          <w:b/>
          <w:bCs/>
          <w:sz w:val="28"/>
        </w:rPr>
      </w:pPr>
      <w:r>
        <w:rPr>
          <w:rFonts w:ascii="Verdana" w:hAnsi="Verdana"/>
          <w:b/>
          <w:bCs/>
          <w:sz w:val="28"/>
        </w:rPr>
        <w:t>CLASS SIZE, WORKLOAD, &amp; CASELOAD</w:t>
      </w:r>
    </w:p>
    <w:p w:rsidR="00914829" w:rsidRDefault="00914829" w:rsidP="00914829">
      <w:pPr>
        <w:pStyle w:val="BodyTextIndent"/>
        <w:spacing w:after="0"/>
        <w:ind w:left="0"/>
        <w:contextualSpacing/>
        <w:jc w:val="center"/>
        <w:rPr>
          <w:rFonts w:ascii="Verdana" w:hAnsi="Verdana"/>
          <w:b/>
          <w:sz w:val="28"/>
          <w:szCs w:val="28"/>
        </w:rPr>
      </w:pPr>
    </w:p>
    <w:p w:rsidR="00914829" w:rsidRPr="00B36AF7" w:rsidRDefault="00914829" w:rsidP="00914829">
      <w:pPr>
        <w:jc w:val="both"/>
        <w:rPr>
          <w:rFonts w:ascii="Verdana" w:hAnsi="Verdana"/>
          <w:b/>
          <w:bCs/>
          <w:sz w:val="28"/>
        </w:rPr>
      </w:pPr>
      <w:r>
        <w:rPr>
          <w:rFonts w:ascii="Verdana" w:hAnsi="Verdana"/>
          <w:b/>
          <w:sz w:val="28"/>
          <w:szCs w:val="28"/>
        </w:rPr>
        <w:t>Class Size</w:t>
      </w:r>
      <w:r w:rsidRPr="00BC38E8">
        <w:rPr>
          <w:rFonts w:ascii="Verdana" w:hAnsi="Verdana"/>
          <w:b/>
          <w:bCs/>
          <w:sz w:val="28"/>
        </w:rPr>
        <w:t xml:space="preserve"> </w:t>
      </w:r>
    </w:p>
    <w:p w:rsidR="00914829" w:rsidRPr="00B36AF7" w:rsidRDefault="00914829" w:rsidP="00914829">
      <w:pPr>
        <w:jc w:val="both"/>
        <w:rPr>
          <w:rFonts w:ascii="Verdana" w:hAnsi="Verdana"/>
          <w:bCs/>
        </w:rPr>
      </w:pPr>
      <w:r w:rsidRPr="00B36AF7">
        <w:rPr>
          <w:rFonts w:ascii="Verdana" w:hAnsi="Verdana"/>
          <w:bCs/>
        </w:rPr>
        <w:t>“</w:t>
      </w:r>
      <w:r>
        <w:rPr>
          <w:rFonts w:ascii="Verdana" w:hAnsi="Verdana"/>
          <w:bCs/>
        </w:rPr>
        <w:t>C</w:t>
      </w:r>
      <w:r w:rsidRPr="00B36AF7">
        <w:rPr>
          <w:rFonts w:ascii="Verdana" w:hAnsi="Verdana"/>
          <w:bCs/>
        </w:rPr>
        <w:t>lass size” is defined as the total number of students an educator serves during any “special education class.” When an IEP calls for placement in a “special education class,” a) the student will be placed in a class where only students with IEPs are served, b) at least one qualified special education teacher or related service provider is assigned, and c) the instruction or therapy is provided exclusively to the students with IEPs.</w:t>
      </w:r>
    </w:p>
    <w:p w:rsidR="00914829" w:rsidRPr="00B36AF7" w:rsidRDefault="00914829" w:rsidP="00914829">
      <w:pPr>
        <w:rPr>
          <w:rFonts w:ascii="Verdana" w:hAnsi="Verdana"/>
          <w:bCs/>
        </w:rPr>
      </w:pPr>
    </w:p>
    <w:p w:rsidR="00914829" w:rsidRPr="00B36AF7" w:rsidRDefault="00914829" w:rsidP="00914829">
      <w:pPr>
        <w:jc w:val="both"/>
        <w:rPr>
          <w:rFonts w:ascii="Verdana" w:hAnsi="Verdana"/>
          <w:bCs/>
        </w:rPr>
      </w:pPr>
      <w:r w:rsidRPr="00B36AF7">
        <w:rPr>
          <w:rFonts w:ascii="Verdana" w:hAnsi="Verdana"/>
          <w:bCs/>
        </w:rPr>
        <w:t xml:space="preserve">Below are the class size limits set forth in Illinois Administrative Code 23, Section 226.730, “Class Size for 2009-2010 and </w:t>
      </w:r>
      <w:proofErr w:type="gramStart"/>
      <w:r w:rsidRPr="00B36AF7">
        <w:rPr>
          <w:rFonts w:ascii="Verdana" w:hAnsi="Verdana"/>
          <w:bCs/>
        </w:rPr>
        <w:t>Beyond</w:t>
      </w:r>
      <w:proofErr w:type="gramEnd"/>
      <w:r w:rsidRPr="00B36AF7">
        <w:rPr>
          <w:rFonts w:ascii="Verdana" w:hAnsi="Verdana"/>
          <w:bCs/>
        </w:rPr>
        <w:t>,” as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4"/>
        <w:gridCol w:w="2842"/>
        <w:gridCol w:w="3110"/>
      </w:tblGrid>
      <w:tr w:rsidR="00914829" w:rsidRPr="007C115C" w:rsidTr="00907987">
        <w:tc>
          <w:tcPr>
            <w:tcW w:w="2904" w:type="dxa"/>
          </w:tcPr>
          <w:p w:rsidR="00914829" w:rsidRPr="007C115C" w:rsidRDefault="00914829" w:rsidP="005C1181">
            <w:pPr>
              <w:rPr>
                <w:rFonts w:ascii="Verdana" w:hAnsi="Verdana"/>
                <w:bCs/>
              </w:rPr>
            </w:pPr>
          </w:p>
        </w:tc>
        <w:tc>
          <w:tcPr>
            <w:tcW w:w="2842" w:type="dxa"/>
          </w:tcPr>
          <w:p w:rsidR="00914829" w:rsidRPr="007C115C" w:rsidRDefault="00914829" w:rsidP="005C1181">
            <w:pPr>
              <w:rPr>
                <w:rFonts w:ascii="Verdana" w:hAnsi="Verdana"/>
                <w:bCs/>
              </w:rPr>
            </w:pPr>
            <w:r w:rsidRPr="007C115C">
              <w:rPr>
                <w:rFonts w:ascii="Verdana" w:hAnsi="Verdana"/>
                <w:bCs/>
              </w:rPr>
              <w:t>Class Size Limit with Teacher Only</w:t>
            </w:r>
          </w:p>
        </w:tc>
        <w:tc>
          <w:tcPr>
            <w:tcW w:w="3110" w:type="dxa"/>
          </w:tcPr>
          <w:p w:rsidR="00914829" w:rsidRPr="007C115C" w:rsidRDefault="00914829" w:rsidP="005C1181">
            <w:pPr>
              <w:rPr>
                <w:rFonts w:ascii="Verdana" w:hAnsi="Verdana"/>
                <w:bCs/>
              </w:rPr>
            </w:pPr>
            <w:r w:rsidRPr="007C115C">
              <w:rPr>
                <w:rFonts w:ascii="Verdana" w:hAnsi="Verdana"/>
                <w:bCs/>
              </w:rPr>
              <w:t>Class Size Limit with Teacher and a Classroom Paraprofessional</w:t>
            </w:r>
          </w:p>
        </w:tc>
      </w:tr>
      <w:tr w:rsidR="00914829" w:rsidRPr="007C115C" w:rsidTr="00907987">
        <w:tc>
          <w:tcPr>
            <w:tcW w:w="2904" w:type="dxa"/>
          </w:tcPr>
          <w:p w:rsidR="00914829" w:rsidRPr="007C115C" w:rsidRDefault="00914829" w:rsidP="005C1181">
            <w:pPr>
              <w:rPr>
                <w:rFonts w:ascii="Verdana" w:hAnsi="Verdana"/>
                <w:bCs/>
              </w:rPr>
            </w:pPr>
            <w:r w:rsidRPr="007C115C">
              <w:rPr>
                <w:rFonts w:ascii="Verdana" w:hAnsi="Verdana"/>
                <w:bCs/>
              </w:rPr>
              <w:t>Early Childhood</w:t>
            </w:r>
          </w:p>
        </w:tc>
        <w:tc>
          <w:tcPr>
            <w:tcW w:w="2842" w:type="dxa"/>
            <w:vAlign w:val="center"/>
          </w:tcPr>
          <w:p w:rsidR="00914829" w:rsidRPr="007C115C" w:rsidRDefault="00914829" w:rsidP="005C1181">
            <w:pPr>
              <w:jc w:val="center"/>
              <w:rPr>
                <w:rFonts w:ascii="Verdana" w:hAnsi="Verdana"/>
                <w:bCs/>
              </w:rPr>
            </w:pPr>
            <w:r w:rsidRPr="007C115C">
              <w:rPr>
                <w:rFonts w:ascii="Verdana" w:hAnsi="Verdana"/>
                <w:bCs/>
              </w:rPr>
              <w:t>5</w:t>
            </w:r>
          </w:p>
        </w:tc>
        <w:tc>
          <w:tcPr>
            <w:tcW w:w="3110" w:type="dxa"/>
            <w:vAlign w:val="center"/>
          </w:tcPr>
          <w:p w:rsidR="00914829" w:rsidRPr="007C115C" w:rsidRDefault="00914829" w:rsidP="005C1181">
            <w:pPr>
              <w:jc w:val="center"/>
              <w:rPr>
                <w:rFonts w:ascii="Verdana" w:hAnsi="Verdana"/>
                <w:bCs/>
              </w:rPr>
            </w:pPr>
            <w:r w:rsidRPr="007C115C">
              <w:rPr>
                <w:rFonts w:ascii="Verdana" w:hAnsi="Verdana"/>
                <w:bCs/>
              </w:rPr>
              <w:t>10</w:t>
            </w:r>
          </w:p>
        </w:tc>
      </w:tr>
      <w:tr w:rsidR="00914829" w:rsidRPr="007C115C" w:rsidTr="00907987">
        <w:tc>
          <w:tcPr>
            <w:tcW w:w="2904" w:type="dxa"/>
          </w:tcPr>
          <w:p w:rsidR="00914829" w:rsidRPr="007C115C" w:rsidRDefault="00914829" w:rsidP="005C1181">
            <w:pPr>
              <w:rPr>
                <w:rFonts w:ascii="Verdana" w:hAnsi="Verdana"/>
                <w:bCs/>
              </w:rPr>
            </w:pPr>
            <w:r w:rsidRPr="007C115C">
              <w:rPr>
                <w:rFonts w:ascii="Verdana" w:hAnsi="Verdana"/>
                <w:bCs/>
              </w:rPr>
              <w:t>Students with 20% or less Special Education Services</w:t>
            </w:r>
          </w:p>
        </w:tc>
        <w:tc>
          <w:tcPr>
            <w:tcW w:w="2842" w:type="dxa"/>
            <w:vAlign w:val="center"/>
          </w:tcPr>
          <w:p w:rsidR="00914829" w:rsidRPr="007C115C" w:rsidRDefault="00914829" w:rsidP="005C1181">
            <w:pPr>
              <w:jc w:val="center"/>
              <w:rPr>
                <w:rFonts w:ascii="Verdana" w:hAnsi="Verdana"/>
                <w:bCs/>
              </w:rPr>
            </w:pPr>
            <w:r w:rsidRPr="007C115C">
              <w:rPr>
                <w:rFonts w:ascii="Verdana" w:hAnsi="Verdana"/>
                <w:bCs/>
              </w:rPr>
              <w:t>15</w:t>
            </w:r>
          </w:p>
        </w:tc>
        <w:tc>
          <w:tcPr>
            <w:tcW w:w="3110" w:type="dxa"/>
            <w:vAlign w:val="center"/>
          </w:tcPr>
          <w:p w:rsidR="00914829" w:rsidRPr="007C115C" w:rsidRDefault="00914829" w:rsidP="005C1181">
            <w:pPr>
              <w:jc w:val="center"/>
              <w:rPr>
                <w:rFonts w:ascii="Verdana" w:hAnsi="Verdana"/>
                <w:bCs/>
              </w:rPr>
            </w:pPr>
            <w:r w:rsidRPr="007C115C">
              <w:rPr>
                <w:rFonts w:ascii="Verdana" w:hAnsi="Verdana"/>
                <w:bCs/>
              </w:rPr>
              <w:t>17</w:t>
            </w:r>
          </w:p>
        </w:tc>
      </w:tr>
      <w:tr w:rsidR="00914829" w:rsidRPr="007C115C" w:rsidTr="00907987">
        <w:tc>
          <w:tcPr>
            <w:tcW w:w="2904" w:type="dxa"/>
          </w:tcPr>
          <w:p w:rsidR="00914829" w:rsidRPr="007C115C" w:rsidRDefault="00914829" w:rsidP="005C1181">
            <w:pPr>
              <w:rPr>
                <w:rFonts w:ascii="Verdana" w:hAnsi="Verdana"/>
                <w:bCs/>
              </w:rPr>
            </w:pPr>
            <w:r w:rsidRPr="007C115C">
              <w:rPr>
                <w:rFonts w:ascii="Verdana" w:hAnsi="Verdana"/>
                <w:bCs/>
              </w:rPr>
              <w:t>Students with 21-60% Special Education Services</w:t>
            </w:r>
          </w:p>
        </w:tc>
        <w:tc>
          <w:tcPr>
            <w:tcW w:w="2842" w:type="dxa"/>
            <w:vAlign w:val="center"/>
          </w:tcPr>
          <w:p w:rsidR="00914829" w:rsidRPr="007C115C" w:rsidRDefault="00914829" w:rsidP="005C1181">
            <w:pPr>
              <w:jc w:val="center"/>
              <w:rPr>
                <w:rFonts w:ascii="Verdana" w:hAnsi="Verdana"/>
                <w:bCs/>
              </w:rPr>
            </w:pPr>
            <w:r w:rsidRPr="007C115C">
              <w:rPr>
                <w:rFonts w:ascii="Verdana" w:hAnsi="Verdana"/>
                <w:bCs/>
              </w:rPr>
              <w:t>10</w:t>
            </w:r>
          </w:p>
        </w:tc>
        <w:tc>
          <w:tcPr>
            <w:tcW w:w="3110" w:type="dxa"/>
            <w:vAlign w:val="center"/>
          </w:tcPr>
          <w:p w:rsidR="00914829" w:rsidRPr="007C115C" w:rsidRDefault="00914829" w:rsidP="005C1181">
            <w:pPr>
              <w:jc w:val="center"/>
              <w:rPr>
                <w:rFonts w:ascii="Verdana" w:hAnsi="Verdana"/>
                <w:bCs/>
              </w:rPr>
            </w:pPr>
            <w:r w:rsidRPr="007C115C">
              <w:rPr>
                <w:rFonts w:ascii="Verdana" w:hAnsi="Verdana"/>
                <w:bCs/>
              </w:rPr>
              <w:t>15</w:t>
            </w:r>
          </w:p>
        </w:tc>
      </w:tr>
      <w:tr w:rsidR="00914829" w:rsidRPr="007C115C" w:rsidTr="00907987">
        <w:tc>
          <w:tcPr>
            <w:tcW w:w="2904" w:type="dxa"/>
          </w:tcPr>
          <w:p w:rsidR="00914829" w:rsidRPr="007C115C" w:rsidRDefault="00914829" w:rsidP="005C1181">
            <w:pPr>
              <w:rPr>
                <w:rFonts w:ascii="Verdana" w:hAnsi="Verdana"/>
                <w:bCs/>
              </w:rPr>
            </w:pPr>
            <w:r w:rsidRPr="007C115C">
              <w:rPr>
                <w:rFonts w:ascii="Verdana" w:hAnsi="Verdana"/>
                <w:bCs/>
              </w:rPr>
              <w:t>Students with 61% or more Special Education Services</w:t>
            </w:r>
          </w:p>
        </w:tc>
        <w:tc>
          <w:tcPr>
            <w:tcW w:w="2842" w:type="dxa"/>
            <w:vAlign w:val="center"/>
          </w:tcPr>
          <w:p w:rsidR="00914829" w:rsidRPr="007C115C" w:rsidRDefault="00914829" w:rsidP="005C1181">
            <w:pPr>
              <w:jc w:val="center"/>
              <w:rPr>
                <w:rFonts w:ascii="Verdana" w:hAnsi="Verdana"/>
                <w:bCs/>
              </w:rPr>
            </w:pPr>
            <w:r w:rsidRPr="007C115C">
              <w:rPr>
                <w:rFonts w:ascii="Verdana" w:hAnsi="Verdana"/>
                <w:bCs/>
              </w:rPr>
              <w:t>8</w:t>
            </w:r>
          </w:p>
        </w:tc>
        <w:tc>
          <w:tcPr>
            <w:tcW w:w="3110" w:type="dxa"/>
            <w:vAlign w:val="center"/>
          </w:tcPr>
          <w:p w:rsidR="00914829" w:rsidRPr="007C115C" w:rsidRDefault="00914829" w:rsidP="005C1181">
            <w:pPr>
              <w:jc w:val="center"/>
              <w:rPr>
                <w:rFonts w:ascii="Verdana" w:hAnsi="Verdana"/>
                <w:bCs/>
              </w:rPr>
            </w:pPr>
            <w:r w:rsidRPr="007C115C">
              <w:rPr>
                <w:rFonts w:ascii="Verdana" w:hAnsi="Verdana"/>
                <w:bCs/>
              </w:rPr>
              <w:t>13</w:t>
            </w:r>
          </w:p>
        </w:tc>
      </w:tr>
    </w:tbl>
    <w:p w:rsidR="00914829" w:rsidRPr="00B36AF7" w:rsidRDefault="00914829" w:rsidP="00914829">
      <w:pPr>
        <w:rPr>
          <w:rFonts w:ascii="Verdana" w:hAnsi="Verdana"/>
          <w:b/>
          <w:bCs/>
          <w:sz w:val="28"/>
        </w:rPr>
      </w:pPr>
    </w:p>
    <w:p w:rsidR="00914829" w:rsidRDefault="00914829" w:rsidP="00914829">
      <w:pPr>
        <w:jc w:val="both"/>
        <w:rPr>
          <w:rFonts w:ascii="Verdana" w:hAnsi="Verdana"/>
          <w:b/>
          <w:bCs/>
          <w:sz w:val="28"/>
        </w:rPr>
      </w:pPr>
      <w:r>
        <w:rPr>
          <w:rFonts w:ascii="Verdana" w:hAnsi="Verdana"/>
          <w:b/>
          <w:bCs/>
          <w:sz w:val="28"/>
        </w:rPr>
        <w:t>Special Education Workload</w:t>
      </w:r>
    </w:p>
    <w:p w:rsidR="00914829" w:rsidRDefault="00914829" w:rsidP="00914829">
      <w:pPr>
        <w:jc w:val="both"/>
        <w:rPr>
          <w:rFonts w:ascii="Verdana" w:hAnsi="Verdana"/>
          <w:bCs/>
        </w:rPr>
      </w:pPr>
      <w:r>
        <w:rPr>
          <w:rFonts w:ascii="Verdana" w:hAnsi="Verdana"/>
          <w:bCs/>
        </w:rPr>
        <w:t>Each district has its own Special Educator Workload Plan.  Unless specified in a district’s Special Educator Workload Plan, there is no caseload limit for special educators, meaning there is no limit to how ma</w:t>
      </w:r>
      <w:r w:rsidR="00907987">
        <w:rPr>
          <w:rFonts w:ascii="Verdana" w:hAnsi="Verdana"/>
          <w:bCs/>
        </w:rPr>
        <w:t>n</w:t>
      </w:r>
      <w:r>
        <w:rPr>
          <w:rFonts w:ascii="Verdana" w:hAnsi="Verdana"/>
          <w:bCs/>
        </w:rPr>
        <w:t xml:space="preserve">y students a special education teacher may be the case manager for. </w:t>
      </w:r>
    </w:p>
    <w:p w:rsidR="00914829" w:rsidRDefault="00914829" w:rsidP="00914829">
      <w:pPr>
        <w:jc w:val="both"/>
        <w:rPr>
          <w:rFonts w:ascii="Verdana" w:hAnsi="Verdana"/>
          <w:b/>
          <w:bCs/>
          <w:sz w:val="28"/>
        </w:rPr>
      </w:pPr>
    </w:p>
    <w:p w:rsidR="00914829" w:rsidRPr="00B36AF7" w:rsidRDefault="00914829" w:rsidP="00914829">
      <w:pPr>
        <w:jc w:val="both"/>
        <w:rPr>
          <w:rFonts w:ascii="Verdana" w:hAnsi="Verdana"/>
          <w:b/>
          <w:bCs/>
          <w:sz w:val="28"/>
        </w:rPr>
      </w:pPr>
      <w:r w:rsidRPr="00B36AF7">
        <w:rPr>
          <w:rFonts w:ascii="Verdana" w:hAnsi="Verdana"/>
          <w:b/>
          <w:bCs/>
          <w:sz w:val="28"/>
        </w:rPr>
        <w:t>Speech-Language Therapists</w:t>
      </w:r>
      <w:r>
        <w:rPr>
          <w:rFonts w:ascii="Verdana" w:hAnsi="Verdana"/>
          <w:b/>
          <w:bCs/>
          <w:sz w:val="28"/>
        </w:rPr>
        <w:t>’</w:t>
      </w:r>
      <w:r w:rsidRPr="00B36AF7">
        <w:rPr>
          <w:rFonts w:ascii="Verdana" w:hAnsi="Verdana"/>
          <w:b/>
          <w:bCs/>
          <w:sz w:val="28"/>
        </w:rPr>
        <w:t xml:space="preserve"> Caseloads</w:t>
      </w:r>
    </w:p>
    <w:p w:rsidR="00914829" w:rsidRDefault="00914829" w:rsidP="00914829">
      <w:pPr>
        <w:jc w:val="both"/>
        <w:rPr>
          <w:rFonts w:ascii="Verdana" w:hAnsi="Verdana"/>
          <w:bCs/>
        </w:rPr>
      </w:pPr>
      <w:r>
        <w:rPr>
          <w:rFonts w:ascii="Verdana" w:hAnsi="Verdana"/>
          <w:bCs/>
        </w:rPr>
        <w:t>Unless specified in a district’s Special Educator Workload Plan, at</w:t>
      </w:r>
      <w:r w:rsidRPr="00B36AF7">
        <w:rPr>
          <w:rFonts w:ascii="Verdana" w:hAnsi="Verdana"/>
          <w:bCs/>
        </w:rPr>
        <w:t xml:space="preserve"> no time shall the caseload of a speech-language </w:t>
      </w:r>
      <w:r>
        <w:rPr>
          <w:rFonts w:ascii="Verdana" w:hAnsi="Verdana"/>
          <w:bCs/>
        </w:rPr>
        <w:t>pathologist exceed 60 students.</w:t>
      </w:r>
      <w:r w:rsidRPr="00B36AF7">
        <w:rPr>
          <w:rFonts w:ascii="Verdana" w:hAnsi="Verdana"/>
          <w:bCs/>
        </w:rPr>
        <w:t xml:space="preserve"> </w:t>
      </w:r>
    </w:p>
    <w:p w:rsidR="00914829" w:rsidRDefault="00914829" w:rsidP="00914829">
      <w:pPr>
        <w:jc w:val="both"/>
        <w:rPr>
          <w:rFonts w:ascii="Verdana" w:hAnsi="Verdana"/>
          <w:bCs/>
        </w:rPr>
      </w:pPr>
    </w:p>
    <w:p w:rsidR="0066634C" w:rsidRDefault="0066634C">
      <w:bookmarkStart w:id="0" w:name="_GoBack"/>
      <w:bookmarkEnd w:id="0"/>
    </w:p>
    <w:sectPr w:rsidR="006663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914829"/>
    <w:rsid w:val="0066634C"/>
    <w:rsid w:val="00907987"/>
    <w:rsid w:val="00914829"/>
    <w:rsid w:val="00D81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6AACA8-FA2A-41DA-9E66-40EA65296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482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914829"/>
    <w:pPr>
      <w:spacing w:after="120"/>
      <w:ind w:left="360"/>
    </w:pPr>
  </w:style>
  <w:style w:type="character" w:customStyle="1" w:styleId="BodyTextIndentChar">
    <w:name w:val="Body Text Indent Char"/>
    <w:basedOn w:val="DefaultParagraphFont"/>
    <w:link w:val="BodyTextIndent"/>
    <w:rsid w:val="0091482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213</Words>
  <Characters>1216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 Moore</dc:creator>
  <cp:keywords/>
  <dc:description/>
  <cp:lastModifiedBy>kbartelt</cp:lastModifiedBy>
  <cp:revision>2</cp:revision>
  <dcterms:created xsi:type="dcterms:W3CDTF">2013-11-16T19:14:00Z</dcterms:created>
  <dcterms:modified xsi:type="dcterms:W3CDTF">2014-07-16T15:51:00Z</dcterms:modified>
</cp:coreProperties>
</file>