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3747" w14:textId="195F3677" w:rsidR="00894AC0" w:rsidRDefault="009A621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B94307" wp14:editId="45B60D7F">
            <wp:extent cx="1666875" cy="1084561"/>
            <wp:effectExtent l="0" t="0" r="0" b="1905"/>
            <wp:docPr id="2" name="Picture 2" descr="School 4 – Think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4 – Thinkcentr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71" cy="108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8BF7" w14:textId="77777777" w:rsidR="00894AC0" w:rsidRDefault="00894AC0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32D8AA15" w14:textId="3533B000" w:rsidR="005169A8" w:rsidRPr="005169A8" w:rsidRDefault="005169A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169A8">
        <w:rPr>
          <w:b/>
          <w:bCs/>
          <w:sz w:val="36"/>
          <w:szCs w:val="36"/>
          <w:u w:val="single"/>
        </w:rPr>
        <w:t xml:space="preserve">How to log in to the </w:t>
      </w:r>
      <w:r w:rsidR="009A6218">
        <w:rPr>
          <w:b/>
          <w:bCs/>
          <w:sz w:val="36"/>
          <w:szCs w:val="36"/>
          <w:u w:val="single"/>
        </w:rPr>
        <w:t>Think Central</w:t>
      </w:r>
      <w:r w:rsidRPr="005169A8">
        <w:rPr>
          <w:b/>
          <w:bCs/>
          <w:sz w:val="36"/>
          <w:szCs w:val="36"/>
          <w:u w:val="single"/>
        </w:rPr>
        <w:t xml:space="preserve"> website for</w:t>
      </w:r>
    </w:p>
    <w:p w14:paraId="7368CD79" w14:textId="4B20679C" w:rsidR="005169A8" w:rsidRDefault="009A621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Math </w:t>
      </w:r>
      <w:r w:rsidR="005169A8" w:rsidRPr="005169A8">
        <w:rPr>
          <w:b/>
          <w:bCs/>
          <w:sz w:val="36"/>
          <w:szCs w:val="36"/>
          <w:u w:val="single"/>
        </w:rPr>
        <w:t>activities and assignments for distance learning</w:t>
      </w:r>
    </w:p>
    <w:p w14:paraId="3D97FD66" w14:textId="24E686B1" w:rsidR="005169A8" w:rsidRDefault="005169A8" w:rsidP="005169A8">
      <w:pPr>
        <w:spacing w:after="0"/>
        <w:rPr>
          <w:sz w:val="28"/>
          <w:szCs w:val="28"/>
        </w:rPr>
      </w:pPr>
    </w:p>
    <w:p w14:paraId="3ACA0719" w14:textId="4C00D189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1.  Go to </w:t>
      </w:r>
      <w:hyperlink r:id="rId6" w:history="1">
        <w:r w:rsidR="009A6218" w:rsidRPr="00DE0936">
          <w:rPr>
            <w:rStyle w:val="Hyperlink"/>
          </w:rPr>
          <w:t>https://www-k6.thinkcentral.com/ePC/start.do</w:t>
        </w:r>
      </w:hyperlink>
    </w:p>
    <w:p w14:paraId="372927C4" w14:textId="736EFE75" w:rsidR="005169A8" w:rsidRPr="00894AC0" w:rsidRDefault="005169A8" w:rsidP="005169A8">
      <w:pPr>
        <w:spacing w:after="0"/>
        <w:rPr>
          <w:sz w:val="24"/>
          <w:szCs w:val="24"/>
        </w:rPr>
      </w:pPr>
    </w:p>
    <w:p w14:paraId="0424CC76" w14:textId="7168B29C" w:rsidR="009A6218" w:rsidRDefault="005169A8" w:rsidP="009A621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2.  </w:t>
      </w:r>
      <w:r w:rsidR="002823B9">
        <w:rPr>
          <w:sz w:val="24"/>
          <w:szCs w:val="24"/>
        </w:rPr>
        <w:t>Choose from the drop-down menu to fill in the following:</w:t>
      </w:r>
    </w:p>
    <w:p w14:paraId="68340B94" w14:textId="187E737E" w:rsidR="009A6218" w:rsidRDefault="009A6218" w:rsidP="009A62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– Alabama</w:t>
      </w:r>
    </w:p>
    <w:p w14:paraId="27F475FA" w14:textId="0FED86E6" w:rsidR="009A6218" w:rsidRDefault="009A6218" w:rsidP="009A62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– Lanett City School District, 36863</w:t>
      </w:r>
    </w:p>
    <w:p w14:paraId="64295479" w14:textId="5898F3CC" w:rsidR="009A6218" w:rsidRDefault="009A6218" w:rsidP="009A621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2823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23B9">
        <w:rPr>
          <w:sz w:val="24"/>
          <w:szCs w:val="24"/>
        </w:rPr>
        <w:t>W O Lance Elementary, Lanett 36863</w:t>
      </w:r>
    </w:p>
    <w:p w14:paraId="7ECDACF3" w14:textId="6253945B" w:rsidR="002823B9" w:rsidRDefault="002823B9" w:rsidP="002823B9">
      <w:pPr>
        <w:spacing w:after="0"/>
        <w:rPr>
          <w:sz w:val="24"/>
          <w:szCs w:val="24"/>
        </w:rPr>
      </w:pPr>
    </w:p>
    <w:p w14:paraId="3B6F544E" w14:textId="220B734E" w:rsidR="002823B9" w:rsidRDefault="002823B9" w:rsidP="002823B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Look at the top of this page to find your student’s username and password.  Type those into the correct boxes.</w:t>
      </w:r>
    </w:p>
    <w:p w14:paraId="2C534D48" w14:textId="12C883BF" w:rsidR="002823B9" w:rsidRDefault="002823B9" w:rsidP="002823B9">
      <w:pPr>
        <w:spacing w:after="0"/>
        <w:rPr>
          <w:sz w:val="24"/>
          <w:szCs w:val="24"/>
        </w:rPr>
      </w:pPr>
    </w:p>
    <w:p w14:paraId="3172FFE5" w14:textId="1BB063AF" w:rsidR="002823B9" w:rsidRDefault="002823B9" w:rsidP="002823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Student resources are located </w:t>
      </w:r>
      <w:proofErr w:type="gramStart"/>
      <w:r>
        <w:rPr>
          <w:sz w:val="24"/>
          <w:szCs w:val="24"/>
        </w:rPr>
        <w:t>in  “</w:t>
      </w:r>
      <w:proofErr w:type="gramEnd"/>
      <w:r>
        <w:rPr>
          <w:sz w:val="24"/>
          <w:szCs w:val="24"/>
        </w:rPr>
        <w:t>My Library.”  This includes the ability to view and have access to:</w:t>
      </w:r>
    </w:p>
    <w:p w14:paraId="60B04D0F" w14:textId="6D704CAE" w:rsidR="002823B9" w:rsidRDefault="002823B9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GoMath</w:t>
      </w:r>
      <w:proofErr w:type="spellEnd"/>
      <w:r>
        <w:rPr>
          <w:sz w:val="24"/>
          <w:szCs w:val="24"/>
        </w:rPr>
        <w:t>! Student edition (workbook)</w:t>
      </w:r>
    </w:p>
    <w:p w14:paraId="083AA36E" w14:textId="02439A2D" w:rsidR="002823B9" w:rsidRDefault="002823B9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GoMath</w:t>
      </w:r>
      <w:proofErr w:type="spellEnd"/>
      <w:r>
        <w:rPr>
          <w:sz w:val="24"/>
          <w:szCs w:val="24"/>
        </w:rPr>
        <w:t>! Standards Practice book (practice activities that go along with each lesson)</w:t>
      </w:r>
    </w:p>
    <w:p w14:paraId="767E6F0F" w14:textId="1722BEFB" w:rsidR="00123892" w:rsidRDefault="00123892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GoMath</w:t>
      </w:r>
      <w:proofErr w:type="spellEnd"/>
      <w:r>
        <w:rPr>
          <w:sz w:val="24"/>
          <w:szCs w:val="24"/>
        </w:rPr>
        <w:t>! Reteach book (if you need a little extra instruction for a given lesson)</w:t>
      </w:r>
    </w:p>
    <w:p w14:paraId="2B0561FA" w14:textId="5BB5A1A2" w:rsidR="00123892" w:rsidRDefault="00123892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GoMath</w:t>
      </w:r>
      <w:proofErr w:type="spellEnd"/>
      <w:r>
        <w:rPr>
          <w:sz w:val="24"/>
          <w:szCs w:val="24"/>
        </w:rPr>
        <w:t>! Enrich book (if you want something a little harder to go along with each lesson concept)</w:t>
      </w:r>
    </w:p>
    <w:p w14:paraId="6B96A1BC" w14:textId="01377FE7" w:rsidR="002823B9" w:rsidRDefault="002823B9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Background videos on grade level content (teaches the main concepts in an easy to understand video)</w:t>
      </w:r>
    </w:p>
    <w:p w14:paraId="10281B34" w14:textId="11DE849E" w:rsidR="002823B9" w:rsidRDefault="002823B9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Virtual math manipulatives (</w:t>
      </w:r>
      <w:proofErr w:type="spellStart"/>
      <w:r>
        <w:rPr>
          <w:sz w:val="24"/>
          <w:szCs w:val="24"/>
        </w:rPr>
        <w:t>iTools</w:t>
      </w:r>
      <w:proofErr w:type="spellEnd"/>
      <w:r>
        <w:rPr>
          <w:sz w:val="24"/>
          <w:szCs w:val="24"/>
        </w:rPr>
        <w:t xml:space="preserve"> primary)</w:t>
      </w:r>
    </w:p>
    <w:p w14:paraId="057A1CF2" w14:textId="5B076950" w:rsidR="002823B9" w:rsidRDefault="002823B9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interactive games (Mega Math)</w:t>
      </w:r>
    </w:p>
    <w:p w14:paraId="4660033F" w14:textId="285573C5" w:rsidR="002823B9" w:rsidRDefault="00123892" w:rsidP="002823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Math Concept Readers (leveled readers that go along with all the math concepts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fun to read and</w:t>
      </w:r>
    </w:p>
    <w:p w14:paraId="714721E8" w14:textId="0FCDF35C" w:rsidR="00123892" w:rsidRPr="002823B9" w:rsidRDefault="00123892" w:rsidP="0012389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helpful, too)</w:t>
      </w:r>
    </w:p>
    <w:p w14:paraId="05C52FAB" w14:textId="58ECDE47" w:rsidR="00894AC0" w:rsidRDefault="00894AC0" w:rsidP="005169A8">
      <w:pPr>
        <w:spacing w:after="0"/>
        <w:rPr>
          <w:sz w:val="24"/>
          <w:szCs w:val="24"/>
        </w:rPr>
      </w:pPr>
    </w:p>
    <w:p w14:paraId="1218425B" w14:textId="7F15821D" w:rsidR="002823B9" w:rsidRDefault="002823B9" w:rsidP="005169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Assignments for each day are found in “Things to Do”.  </w:t>
      </w:r>
      <w:r w:rsidR="00123892">
        <w:rPr>
          <w:sz w:val="24"/>
          <w:szCs w:val="24"/>
        </w:rPr>
        <w:t xml:space="preserve">Most assignments will be found in the </w:t>
      </w:r>
      <w:proofErr w:type="spellStart"/>
      <w:r w:rsidR="00123892">
        <w:rPr>
          <w:sz w:val="24"/>
          <w:szCs w:val="24"/>
        </w:rPr>
        <w:t>GoMath</w:t>
      </w:r>
      <w:proofErr w:type="spellEnd"/>
      <w:r w:rsidR="00123892">
        <w:rPr>
          <w:sz w:val="24"/>
          <w:szCs w:val="24"/>
        </w:rPr>
        <w:t xml:space="preserve">! Student edition or the </w:t>
      </w:r>
      <w:proofErr w:type="spellStart"/>
      <w:r w:rsidR="00123892">
        <w:rPr>
          <w:sz w:val="24"/>
          <w:szCs w:val="24"/>
        </w:rPr>
        <w:t>GoMath</w:t>
      </w:r>
      <w:proofErr w:type="spellEnd"/>
      <w:r w:rsidR="00123892">
        <w:rPr>
          <w:sz w:val="24"/>
          <w:szCs w:val="24"/>
        </w:rPr>
        <w:t xml:space="preserve">! Standards Practice book.  Feel free to use the </w:t>
      </w:r>
      <w:proofErr w:type="spellStart"/>
      <w:r w:rsidR="00123892">
        <w:rPr>
          <w:sz w:val="24"/>
          <w:szCs w:val="24"/>
        </w:rPr>
        <w:t>iTools</w:t>
      </w:r>
      <w:proofErr w:type="spellEnd"/>
      <w:r w:rsidR="00123892">
        <w:rPr>
          <w:sz w:val="24"/>
          <w:szCs w:val="24"/>
        </w:rPr>
        <w:t xml:space="preserve"> manipulatives section if you need some virtual hands-on materials.</w:t>
      </w:r>
    </w:p>
    <w:p w14:paraId="772D99B4" w14:textId="2B6E824E" w:rsidR="00123892" w:rsidRDefault="00123892" w:rsidP="005169A8">
      <w:pPr>
        <w:spacing w:after="0"/>
        <w:rPr>
          <w:sz w:val="24"/>
          <w:szCs w:val="24"/>
        </w:rPr>
      </w:pPr>
    </w:p>
    <w:p w14:paraId="4989C42D" w14:textId="06FE3A1B" w:rsidR="00123892" w:rsidRDefault="00123892" w:rsidP="005169A8">
      <w:pPr>
        <w:spacing w:after="0"/>
      </w:pPr>
      <w:r>
        <w:rPr>
          <w:sz w:val="24"/>
          <w:szCs w:val="24"/>
        </w:rPr>
        <w:t xml:space="preserve">6. 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https://toytheater.com/category/teacher-tools/virtual-manipulatives/</w:t>
        </w:r>
      </w:hyperlink>
      <w:r>
        <w:t xml:space="preserve"> - Toy Theater (a great source for virtual manipulatives and tools that might be helpful, too).</w:t>
      </w:r>
    </w:p>
    <w:p w14:paraId="6207D4E1" w14:textId="617EA8FB" w:rsidR="00123892" w:rsidRDefault="00123892" w:rsidP="005169A8">
      <w:pPr>
        <w:spacing w:after="0"/>
      </w:pPr>
    </w:p>
    <w:p w14:paraId="53259EF1" w14:textId="33FFEB14" w:rsidR="00123892" w:rsidRPr="00894AC0" w:rsidRDefault="00123892" w:rsidP="005169A8">
      <w:pPr>
        <w:spacing w:after="0"/>
        <w:rPr>
          <w:sz w:val="24"/>
          <w:szCs w:val="24"/>
        </w:rPr>
      </w:pPr>
      <w:r>
        <w:t>7.  Be sure to click the “log out” words at the top when you are finished working each time.</w:t>
      </w:r>
    </w:p>
    <w:sectPr w:rsidR="00123892" w:rsidRPr="00894AC0" w:rsidSect="0051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578"/>
    <w:multiLevelType w:val="hybridMultilevel"/>
    <w:tmpl w:val="6B9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21D"/>
    <w:multiLevelType w:val="hybridMultilevel"/>
    <w:tmpl w:val="66FE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8"/>
    <w:rsid w:val="00123892"/>
    <w:rsid w:val="00241649"/>
    <w:rsid w:val="002823B9"/>
    <w:rsid w:val="00306C86"/>
    <w:rsid w:val="00355EFC"/>
    <w:rsid w:val="003710DB"/>
    <w:rsid w:val="0050148A"/>
    <w:rsid w:val="005169A8"/>
    <w:rsid w:val="00894AC0"/>
    <w:rsid w:val="009A6218"/>
    <w:rsid w:val="00C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B457"/>
  <w15:chartTrackingRefBased/>
  <w15:docId w15:val="{2CF3F884-CB49-4E52-B475-CD3C8F4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9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2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ytheater.com/category/teacher-tools/virtual-manipula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ePC/start.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Sarah Horton</cp:lastModifiedBy>
  <cp:revision>2</cp:revision>
  <cp:lastPrinted>2020-04-05T20:57:00Z</cp:lastPrinted>
  <dcterms:created xsi:type="dcterms:W3CDTF">2020-04-07T19:22:00Z</dcterms:created>
  <dcterms:modified xsi:type="dcterms:W3CDTF">2020-04-07T19:22:00Z</dcterms:modified>
</cp:coreProperties>
</file>